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BC" w:rsidRDefault="00F9206F" w:rsidP="00843BBC">
      <w:pPr>
        <w:autoSpaceDE w:val="0"/>
        <w:autoSpaceDN w:val="0"/>
        <w:adjustRightInd w:val="0"/>
        <w:jc w:val="center"/>
        <w:rPr>
          <w:rFonts w:ascii="Impress BT" w:hAnsi="Impress BT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65pt;margin-top:-1.65pt;width:221.05pt;height:90.4pt;z-index:251657216" wrapcoords="-225 -225 -225 21375 21825 21375 21825 -225 -225 -225">
            <v:textbox style="mso-next-textbox:#_x0000_s1026">
              <w:txbxContent>
                <w:p w:rsidR="00810F84" w:rsidRPr="00F97F4E" w:rsidRDefault="00810F84" w:rsidP="00810F84">
                  <w:pPr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IMPORTANT </w:t>
                  </w:r>
                  <w:r w:rsidRPr="00F97F4E">
                    <w:rPr>
                      <w:b/>
                      <w:u w:val="single"/>
                    </w:rPr>
                    <w:t>DATES</w:t>
                  </w:r>
                </w:p>
                <w:p w:rsidR="00810F84" w:rsidRPr="00F97F4E" w:rsidRDefault="00C303DC" w:rsidP="00810F84">
                  <w:pPr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Wednesday, </w:t>
                  </w:r>
                  <w:r w:rsidR="00F31D09">
                    <w:rPr>
                      <w:b/>
                      <w:sz w:val="22"/>
                      <w:szCs w:val="22"/>
                    </w:rPr>
                    <w:t>Sept. 18</w:t>
                  </w:r>
                  <w:r w:rsidR="00810F84">
                    <w:rPr>
                      <w:b/>
                      <w:sz w:val="22"/>
                      <w:szCs w:val="22"/>
                    </w:rPr>
                    <w:t>, 201</w:t>
                  </w:r>
                  <w:r w:rsidR="00F31D09">
                    <w:rPr>
                      <w:b/>
                      <w:sz w:val="22"/>
                      <w:szCs w:val="22"/>
                    </w:rPr>
                    <w:t>3</w:t>
                  </w:r>
                  <w:r w:rsidR="00810F84" w:rsidRPr="00F97F4E">
                    <w:rPr>
                      <w:b/>
                      <w:sz w:val="22"/>
                      <w:szCs w:val="22"/>
                    </w:rPr>
                    <w:t>–</w:t>
                  </w:r>
                  <w:r w:rsidR="00810F84">
                    <w:rPr>
                      <w:b/>
                      <w:sz w:val="22"/>
                      <w:szCs w:val="22"/>
                    </w:rPr>
                    <w:t>Grant Applications D</w:t>
                  </w:r>
                  <w:r w:rsidR="00810F84" w:rsidRPr="00F97F4E">
                    <w:rPr>
                      <w:b/>
                      <w:sz w:val="22"/>
                      <w:szCs w:val="22"/>
                    </w:rPr>
                    <w:t>ue</w:t>
                  </w:r>
                </w:p>
                <w:p w:rsidR="00810F84" w:rsidRDefault="00810F84" w:rsidP="00810F84">
                  <w:pPr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Late Nov. </w:t>
                  </w:r>
                  <w:r w:rsidRPr="00F97F4E">
                    <w:rPr>
                      <w:b/>
                      <w:sz w:val="22"/>
                      <w:szCs w:val="22"/>
                    </w:rPr>
                    <w:t xml:space="preserve"> – Final Notification</w:t>
                  </w:r>
                </w:p>
                <w:p w:rsidR="00F31D09" w:rsidRDefault="00F31D09" w:rsidP="00810F84">
                  <w:pPr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Sept. 18</w:t>
                  </w:r>
                  <w:r w:rsidRPr="00F31D09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sz w:val="22"/>
                      <w:szCs w:val="22"/>
                    </w:rPr>
                    <w:t>, 2014 - Interim reports due</w:t>
                  </w:r>
                </w:p>
                <w:p w:rsidR="00843BBC" w:rsidRPr="00F97F4E" w:rsidRDefault="00843BBC" w:rsidP="00810F84">
                  <w:pPr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Dec. 31, 2015 – Final Report due</w:t>
                  </w:r>
                </w:p>
              </w:txbxContent>
            </v:textbox>
            <w10:wrap type="tight"/>
          </v:shape>
        </w:pict>
      </w:r>
      <w:r w:rsidR="00D56BD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156210</wp:posOffset>
            </wp:positionV>
            <wp:extent cx="3208020" cy="826770"/>
            <wp:effectExtent l="19050" t="0" r="0" b="0"/>
            <wp:wrapSquare wrapText="bothSides"/>
            <wp:docPr id="3" name="Picture 18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84" w:rsidRPr="00F37BB5" w:rsidRDefault="00843BBC" w:rsidP="00F37BB5">
      <w:pPr>
        <w:autoSpaceDE w:val="0"/>
        <w:autoSpaceDN w:val="0"/>
        <w:adjustRightInd w:val="0"/>
        <w:jc w:val="center"/>
      </w:pPr>
      <w:r>
        <w:rPr>
          <w:rFonts w:ascii="Impress BT" w:hAnsi="Impress BT"/>
          <w:sz w:val="32"/>
          <w:szCs w:val="32"/>
        </w:rPr>
        <w:t xml:space="preserve">2 </w:t>
      </w:r>
      <w:r w:rsidRPr="00843BBC">
        <w:rPr>
          <w:rFonts w:ascii="Impress BT" w:hAnsi="Impress BT"/>
          <w:b/>
          <w:sz w:val="32"/>
          <w:szCs w:val="32"/>
        </w:rPr>
        <w:t>Year Grants, Magnified Results</w:t>
      </w:r>
      <w:r>
        <w:t xml:space="preserve"> -</w:t>
      </w:r>
      <w:r w:rsidR="00810F84" w:rsidRPr="00706DB3">
        <w:rPr>
          <w:b/>
          <w:bCs/>
          <w:sz w:val="28"/>
          <w:szCs w:val="28"/>
        </w:rPr>
        <w:t xml:space="preserve"> </w:t>
      </w:r>
      <w:proofErr w:type="gramStart"/>
      <w:r w:rsidR="00810F84" w:rsidRPr="00706DB3">
        <w:rPr>
          <w:b/>
          <w:bCs/>
          <w:sz w:val="28"/>
          <w:szCs w:val="28"/>
        </w:rPr>
        <w:t>Fall</w:t>
      </w:r>
      <w:proofErr w:type="gramEnd"/>
      <w:r w:rsidR="00810F84">
        <w:rPr>
          <w:b/>
          <w:bCs/>
          <w:sz w:val="28"/>
          <w:szCs w:val="28"/>
        </w:rPr>
        <w:t>,</w:t>
      </w:r>
      <w:r w:rsidR="00810F84" w:rsidRPr="00706DB3">
        <w:rPr>
          <w:b/>
          <w:bCs/>
          <w:sz w:val="28"/>
          <w:szCs w:val="28"/>
        </w:rPr>
        <w:t xml:space="preserve"> 201</w:t>
      </w:r>
      <w:r w:rsidR="00F31D09">
        <w:rPr>
          <w:b/>
          <w:bCs/>
          <w:sz w:val="28"/>
          <w:szCs w:val="28"/>
        </w:rPr>
        <w:t>3</w:t>
      </w:r>
    </w:p>
    <w:p w:rsidR="00810F84" w:rsidRPr="00706DB3" w:rsidRDefault="00810F84" w:rsidP="00810F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6DB3">
        <w:rPr>
          <w:b/>
          <w:bCs/>
          <w:sz w:val="24"/>
          <w:szCs w:val="24"/>
        </w:rPr>
        <w:t>Guidelines and Application Procedures</w:t>
      </w:r>
    </w:p>
    <w:p w:rsidR="00810F84" w:rsidRPr="001F114B" w:rsidRDefault="00810F84" w:rsidP="00810F8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10F84" w:rsidRDefault="00810F84" w:rsidP="00810F84">
      <w:pPr>
        <w:autoSpaceDE w:val="0"/>
        <w:autoSpaceDN w:val="0"/>
        <w:adjustRightInd w:val="0"/>
        <w:rPr>
          <w:sz w:val="24"/>
          <w:szCs w:val="24"/>
        </w:rPr>
      </w:pPr>
      <w:r w:rsidRPr="00706DB3">
        <w:rPr>
          <w:sz w:val="24"/>
          <w:szCs w:val="24"/>
        </w:rPr>
        <w:t xml:space="preserve">The Community Foundation of Tompkins County is offering a </w:t>
      </w:r>
      <w:r w:rsidR="00FC6758" w:rsidRPr="00C10DB9">
        <w:rPr>
          <w:b/>
          <w:sz w:val="24"/>
          <w:szCs w:val="24"/>
          <w:u w:val="single"/>
        </w:rPr>
        <w:t xml:space="preserve">two </w:t>
      </w:r>
      <w:r w:rsidR="00F31D09" w:rsidRPr="00C10DB9">
        <w:rPr>
          <w:b/>
          <w:sz w:val="24"/>
          <w:szCs w:val="24"/>
          <w:u w:val="single"/>
        </w:rPr>
        <w:t>year</w:t>
      </w:r>
      <w:r>
        <w:rPr>
          <w:sz w:val="24"/>
          <w:szCs w:val="24"/>
        </w:rPr>
        <w:t xml:space="preserve"> </w:t>
      </w:r>
      <w:r w:rsidR="00C3597C">
        <w:rPr>
          <w:sz w:val="24"/>
          <w:szCs w:val="24"/>
        </w:rPr>
        <w:t xml:space="preserve">(payout in 2013 and 2014) </w:t>
      </w:r>
      <w:r w:rsidRPr="00706DB3">
        <w:rPr>
          <w:sz w:val="24"/>
          <w:szCs w:val="24"/>
        </w:rPr>
        <w:t xml:space="preserve">Grant Cycle to assist </w:t>
      </w:r>
      <w:r w:rsidR="00AE49EB" w:rsidRPr="00AE49EB">
        <w:rPr>
          <w:sz w:val="24"/>
          <w:szCs w:val="24"/>
        </w:rPr>
        <w:t>community organizations in achieving increased effectiveness.  This grant cycle continues the C</w:t>
      </w:r>
      <w:r w:rsidR="00AE49EB">
        <w:rPr>
          <w:sz w:val="24"/>
          <w:szCs w:val="24"/>
        </w:rPr>
        <w:t xml:space="preserve">ommunity </w:t>
      </w:r>
      <w:r w:rsidR="00AE49EB" w:rsidRPr="00AE49EB">
        <w:rPr>
          <w:sz w:val="24"/>
          <w:szCs w:val="24"/>
        </w:rPr>
        <w:t>F</w:t>
      </w:r>
      <w:r w:rsidR="00AE49EB">
        <w:rPr>
          <w:sz w:val="24"/>
          <w:szCs w:val="24"/>
        </w:rPr>
        <w:t xml:space="preserve">oundation’s </w:t>
      </w:r>
      <w:r w:rsidR="00AE49EB" w:rsidRPr="00AE49EB">
        <w:rPr>
          <w:sz w:val="24"/>
          <w:szCs w:val="24"/>
        </w:rPr>
        <w:t>commitment to respond to what was learned during t</w:t>
      </w:r>
      <w:r w:rsidR="00AE49EB">
        <w:rPr>
          <w:sz w:val="24"/>
          <w:szCs w:val="24"/>
        </w:rPr>
        <w:t>he “Listening and Learning” s</w:t>
      </w:r>
      <w:r w:rsidR="00AE49EB" w:rsidRPr="00AE49EB">
        <w:rPr>
          <w:sz w:val="24"/>
          <w:szCs w:val="24"/>
        </w:rPr>
        <w:t xml:space="preserve">essions carried out throughout </w:t>
      </w:r>
      <w:r w:rsidR="00C10DB9">
        <w:rPr>
          <w:sz w:val="24"/>
          <w:szCs w:val="24"/>
        </w:rPr>
        <w:t>Tompkins C</w:t>
      </w:r>
      <w:r w:rsidR="00AE49EB">
        <w:rPr>
          <w:sz w:val="24"/>
          <w:szCs w:val="24"/>
        </w:rPr>
        <w:t>ounty</w:t>
      </w:r>
      <w:r w:rsidR="00F31D09">
        <w:rPr>
          <w:sz w:val="24"/>
          <w:szCs w:val="24"/>
        </w:rPr>
        <w:t xml:space="preserve"> </w:t>
      </w:r>
      <w:r w:rsidR="00AE49EB" w:rsidRPr="00AE49EB">
        <w:rPr>
          <w:sz w:val="24"/>
          <w:szCs w:val="24"/>
        </w:rPr>
        <w:t>in 20</w:t>
      </w:r>
      <w:r w:rsidR="00F31D09">
        <w:rPr>
          <w:sz w:val="24"/>
          <w:szCs w:val="24"/>
        </w:rPr>
        <w:t>13</w:t>
      </w:r>
      <w:r w:rsidR="00AE49EB" w:rsidRPr="00AE49EB">
        <w:rPr>
          <w:sz w:val="24"/>
          <w:szCs w:val="24"/>
        </w:rPr>
        <w:t xml:space="preserve">.  </w:t>
      </w:r>
      <w:r w:rsidR="00C10DB9" w:rsidRPr="00C10DB9">
        <w:rPr>
          <w:sz w:val="24"/>
          <w:szCs w:val="24"/>
          <w:u w:val="single"/>
        </w:rPr>
        <w:t>We welcome applications for programs/projects that would benefit from a two year funding cycle.</w:t>
      </w:r>
      <w:r w:rsidR="00C10DB9">
        <w:rPr>
          <w:sz w:val="24"/>
          <w:szCs w:val="24"/>
        </w:rPr>
        <w:t xml:space="preserve">  </w:t>
      </w:r>
    </w:p>
    <w:p w:rsidR="00AE49EB" w:rsidRPr="001F114B" w:rsidRDefault="00AE49EB" w:rsidP="00810F84">
      <w:pPr>
        <w:autoSpaceDE w:val="0"/>
        <w:autoSpaceDN w:val="0"/>
        <w:adjustRightInd w:val="0"/>
        <w:rPr>
          <w:sz w:val="16"/>
          <w:szCs w:val="16"/>
        </w:rPr>
      </w:pPr>
    </w:p>
    <w:p w:rsidR="00810F84" w:rsidRDefault="00810F84" w:rsidP="00810F8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proofErr w:type="spellStart"/>
      <w:r w:rsidRPr="00706DB3">
        <w:rPr>
          <w:b/>
          <w:sz w:val="24"/>
          <w:szCs w:val="24"/>
          <w:u w:val="single"/>
        </w:rPr>
        <w:t>Grantmaking</w:t>
      </w:r>
      <w:proofErr w:type="spellEnd"/>
      <w:r w:rsidRPr="00706DB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Goals</w:t>
      </w:r>
      <w:r w:rsidRPr="00706DB3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810F84" w:rsidRPr="00C66953" w:rsidRDefault="00810F84" w:rsidP="00810F84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C66953">
        <w:rPr>
          <w:b/>
          <w:sz w:val="24"/>
          <w:szCs w:val="24"/>
        </w:rPr>
        <w:t xml:space="preserve">Strengthen </w:t>
      </w:r>
      <w:r>
        <w:rPr>
          <w:b/>
          <w:sz w:val="24"/>
          <w:szCs w:val="24"/>
        </w:rPr>
        <w:t>Assets</w:t>
      </w:r>
      <w:r w:rsidRPr="00C6695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To preserve</w:t>
      </w:r>
      <w:r w:rsidR="000B0AFF">
        <w:rPr>
          <w:sz w:val="24"/>
          <w:szCs w:val="24"/>
        </w:rPr>
        <w:t xml:space="preserve"> and strengthen</w:t>
      </w:r>
      <w:r>
        <w:rPr>
          <w:sz w:val="24"/>
          <w:szCs w:val="24"/>
        </w:rPr>
        <w:t xml:space="preserve"> progr</w:t>
      </w:r>
      <w:r w:rsidR="00AE49EB">
        <w:rPr>
          <w:sz w:val="24"/>
          <w:szCs w:val="24"/>
        </w:rPr>
        <w:t>ams in Tompkins County</w:t>
      </w:r>
      <w:r>
        <w:rPr>
          <w:sz w:val="24"/>
          <w:szCs w:val="24"/>
        </w:rPr>
        <w:t>.</w:t>
      </w:r>
    </w:p>
    <w:p w:rsidR="00810F84" w:rsidRDefault="00810F84" w:rsidP="00810F84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585895">
        <w:rPr>
          <w:b/>
          <w:sz w:val="24"/>
          <w:szCs w:val="24"/>
        </w:rPr>
        <w:t>Greater Resources</w:t>
      </w:r>
      <w:r w:rsidRPr="00585895">
        <w:rPr>
          <w:sz w:val="24"/>
          <w:szCs w:val="24"/>
        </w:rPr>
        <w:t xml:space="preserve">:  </w:t>
      </w:r>
      <w:r>
        <w:rPr>
          <w:sz w:val="24"/>
          <w:szCs w:val="24"/>
        </w:rPr>
        <w:t>To increase</w:t>
      </w:r>
      <w:r w:rsidRPr="00585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resources available to </w:t>
      </w:r>
      <w:r w:rsidRPr="0098087D">
        <w:rPr>
          <w:sz w:val="24"/>
          <w:szCs w:val="24"/>
        </w:rPr>
        <w:t>organization</w:t>
      </w:r>
      <w:r w:rsidR="00AE49EB">
        <w:rPr>
          <w:sz w:val="24"/>
          <w:szCs w:val="24"/>
        </w:rPr>
        <w:t>s</w:t>
      </w:r>
      <w:r w:rsidR="00777FE1">
        <w:rPr>
          <w:sz w:val="24"/>
          <w:szCs w:val="24"/>
        </w:rPr>
        <w:t>,</w:t>
      </w:r>
      <w:r w:rsidRPr="0098087D">
        <w:rPr>
          <w:sz w:val="24"/>
          <w:szCs w:val="24"/>
        </w:rPr>
        <w:t xml:space="preserve"> </w:t>
      </w:r>
      <w:r w:rsidR="001543B6">
        <w:rPr>
          <w:sz w:val="24"/>
          <w:szCs w:val="24"/>
        </w:rPr>
        <w:t>which will aid in the</w:t>
      </w:r>
      <w:r>
        <w:rPr>
          <w:sz w:val="24"/>
          <w:szCs w:val="24"/>
        </w:rPr>
        <w:t xml:space="preserve"> ability to provide services and/or programs.</w:t>
      </w:r>
    </w:p>
    <w:p w:rsidR="00810F84" w:rsidRDefault="00810F84" w:rsidP="00810F84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585895">
        <w:rPr>
          <w:b/>
          <w:sz w:val="24"/>
          <w:szCs w:val="24"/>
        </w:rPr>
        <w:t>Greater Efficiency</w:t>
      </w:r>
      <w:r>
        <w:rPr>
          <w:sz w:val="24"/>
          <w:szCs w:val="24"/>
        </w:rPr>
        <w:t>:  To improve the utilization of resources within organization</w:t>
      </w:r>
      <w:r w:rsidR="00AE49EB">
        <w:rPr>
          <w:sz w:val="24"/>
          <w:szCs w:val="24"/>
        </w:rPr>
        <w:t>s</w:t>
      </w:r>
      <w:r>
        <w:rPr>
          <w:sz w:val="24"/>
          <w:szCs w:val="24"/>
        </w:rPr>
        <w:t xml:space="preserve"> resulting in improved efficiency.</w:t>
      </w:r>
    </w:p>
    <w:p w:rsidR="00810F84" w:rsidRPr="00585895" w:rsidRDefault="00810F84" w:rsidP="00810F84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585895">
        <w:rPr>
          <w:b/>
          <w:sz w:val="24"/>
          <w:szCs w:val="24"/>
        </w:rPr>
        <w:t>Greater Effectiveness</w:t>
      </w:r>
      <w:r>
        <w:rPr>
          <w:sz w:val="24"/>
          <w:szCs w:val="24"/>
        </w:rPr>
        <w:t>:  To improve the management and allocation of resources withi</w:t>
      </w:r>
      <w:r w:rsidR="00777FE1">
        <w:rPr>
          <w:sz w:val="24"/>
          <w:szCs w:val="24"/>
        </w:rPr>
        <w:t>n organization</w:t>
      </w:r>
      <w:r w:rsidR="00AE49EB">
        <w:rPr>
          <w:sz w:val="24"/>
          <w:szCs w:val="24"/>
        </w:rPr>
        <w:t>s</w:t>
      </w:r>
      <w:r w:rsidR="00777FE1">
        <w:rPr>
          <w:sz w:val="24"/>
          <w:szCs w:val="24"/>
        </w:rPr>
        <w:t xml:space="preserve"> resulting in </w:t>
      </w:r>
      <w:r>
        <w:rPr>
          <w:sz w:val="24"/>
          <w:szCs w:val="24"/>
        </w:rPr>
        <w:t xml:space="preserve">successful programs.  </w:t>
      </w:r>
    </w:p>
    <w:p w:rsidR="00810F84" w:rsidRDefault="00810F84" w:rsidP="00810F8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810F84" w:rsidRPr="00706DB3" w:rsidRDefault="00810F84" w:rsidP="00810F8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Grantmaking</w:t>
      </w:r>
      <w:proofErr w:type="spellEnd"/>
      <w:r>
        <w:rPr>
          <w:b/>
          <w:sz w:val="24"/>
          <w:szCs w:val="24"/>
          <w:u w:val="single"/>
        </w:rPr>
        <w:t xml:space="preserve"> Areas: </w:t>
      </w:r>
    </w:p>
    <w:p w:rsidR="00810F84" w:rsidRPr="00706DB3" w:rsidRDefault="00810F84" w:rsidP="00810F84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Pr="00706DB3">
        <w:rPr>
          <w:sz w:val="24"/>
          <w:szCs w:val="24"/>
        </w:rPr>
        <w:t xml:space="preserve"> grant cycle </w:t>
      </w:r>
      <w:r>
        <w:rPr>
          <w:sz w:val="24"/>
          <w:szCs w:val="24"/>
        </w:rPr>
        <w:t xml:space="preserve">will make </w:t>
      </w:r>
      <w:r w:rsidR="00606EC7">
        <w:rPr>
          <w:sz w:val="24"/>
          <w:szCs w:val="24"/>
        </w:rPr>
        <w:t xml:space="preserve">two year </w:t>
      </w:r>
      <w:r>
        <w:rPr>
          <w:sz w:val="24"/>
          <w:szCs w:val="24"/>
        </w:rPr>
        <w:t>grants available to address th</w:t>
      </w:r>
      <w:r w:rsidR="00606EC7">
        <w:rPr>
          <w:sz w:val="24"/>
          <w:szCs w:val="24"/>
        </w:rPr>
        <w:t>e above goals.  Grants will support the following initiatives:</w:t>
      </w:r>
    </w:p>
    <w:p w:rsidR="00775583" w:rsidRPr="00216B93" w:rsidRDefault="006C456D" w:rsidP="00810F84">
      <w:pPr>
        <w:numPr>
          <w:ilvl w:val="0"/>
          <w:numId w:val="9"/>
        </w:numPr>
        <w:rPr>
          <w:b/>
          <w:sz w:val="24"/>
          <w:szCs w:val="24"/>
        </w:rPr>
      </w:pPr>
      <w:r w:rsidRPr="00216B93">
        <w:rPr>
          <w:b/>
          <w:sz w:val="24"/>
          <w:szCs w:val="24"/>
        </w:rPr>
        <w:t xml:space="preserve">Support for a </w:t>
      </w:r>
      <w:r w:rsidR="00810F84" w:rsidRPr="00216B93">
        <w:rPr>
          <w:b/>
          <w:sz w:val="24"/>
          <w:szCs w:val="24"/>
        </w:rPr>
        <w:t xml:space="preserve">program </w:t>
      </w:r>
      <w:r w:rsidRPr="00216B93">
        <w:rPr>
          <w:b/>
          <w:sz w:val="24"/>
          <w:szCs w:val="24"/>
        </w:rPr>
        <w:t xml:space="preserve">or project </w:t>
      </w:r>
      <w:r w:rsidR="00810F84" w:rsidRPr="00216B93">
        <w:rPr>
          <w:b/>
          <w:sz w:val="24"/>
          <w:szCs w:val="24"/>
        </w:rPr>
        <w:t>with</w:t>
      </w:r>
      <w:r w:rsidRPr="00216B93">
        <w:rPr>
          <w:b/>
          <w:sz w:val="24"/>
          <w:szCs w:val="24"/>
        </w:rPr>
        <w:t xml:space="preserve"> demonstrable outcomes</w:t>
      </w:r>
      <w:r w:rsidR="00810F84" w:rsidRPr="00216B93">
        <w:rPr>
          <w:b/>
          <w:sz w:val="24"/>
          <w:szCs w:val="24"/>
        </w:rPr>
        <w:t>.</w:t>
      </w:r>
      <w:r w:rsidR="00AE49EB" w:rsidRPr="00216B93">
        <w:rPr>
          <w:b/>
          <w:sz w:val="24"/>
          <w:szCs w:val="24"/>
        </w:rPr>
        <w:t xml:space="preserve"> </w:t>
      </w:r>
    </w:p>
    <w:p w:rsidR="00810F84" w:rsidRDefault="000B0AFF" w:rsidP="00810F84">
      <w:pPr>
        <w:numPr>
          <w:ilvl w:val="0"/>
          <w:numId w:val="9"/>
        </w:numPr>
        <w:rPr>
          <w:b/>
          <w:sz w:val="24"/>
          <w:szCs w:val="24"/>
        </w:rPr>
      </w:pPr>
      <w:r w:rsidRPr="00216B93">
        <w:rPr>
          <w:b/>
          <w:sz w:val="24"/>
          <w:szCs w:val="24"/>
        </w:rPr>
        <w:t>Capacity Building</w:t>
      </w:r>
      <w:r w:rsidR="0016763F">
        <w:rPr>
          <w:b/>
          <w:sz w:val="24"/>
          <w:szCs w:val="24"/>
        </w:rPr>
        <w:t xml:space="preserve"> </w:t>
      </w:r>
      <w:r w:rsidR="0016763F" w:rsidRPr="0016763F">
        <w:rPr>
          <w:sz w:val="24"/>
          <w:szCs w:val="24"/>
        </w:rPr>
        <w:t>(i.e. planning activities, board/staff development, software purchases and training, mergers and collaborations)</w:t>
      </w:r>
    </w:p>
    <w:p w:rsidR="00216B93" w:rsidRPr="00216B93" w:rsidRDefault="00216B93" w:rsidP="00216B93">
      <w:pPr>
        <w:rPr>
          <w:b/>
          <w:sz w:val="16"/>
          <w:szCs w:val="16"/>
        </w:rPr>
      </w:pPr>
    </w:p>
    <w:p w:rsidR="00810F84" w:rsidRDefault="00810F84" w:rsidP="00810F8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810F84" w:rsidRPr="00706DB3" w:rsidRDefault="00810F84" w:rsidP="00810F8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proofErr w:type="spellStart"/>
      <w:r w:rsidRPr="00706DB3">
        <w:rPr>
          <w:b/>
          <w:sz w:val="24"/>
          <w:szCs w:val="24"/>
          <w:u w:val="single"/>
        </w:rPr>
        <w:t>Grantmaking</w:t>
      </w:r>
      <w:proofErr w:type="spellEnd"/>
      <w:r w:rsidRPr="00706DB3">
        <w:rPr>
          <w:b/>
          <w:sz w:val="24"/>
          <w:szCs w:val="24"/>
          <w:u w:val="single"/>
        </w:rPr>
        <w:t xml:space="preserve"> Guidelines:</w:t>
      </w:r>
    </w:p>
    <w:p w:rsidR="00810F84" w:rsidRPr="00C36C56" w:rsidRDefault="00810F84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u w:val="single"/>
        </w:rPr>
      </w:pPr>
      <w:r w:rsidRPr="00C36C56">
        <w:rPr>
          <w:sz w:val="24"/>
          <w:szCs w:val="24"/>
        </w:rPr>
        <w:t>Grant applications need to address at least one of the above identified areas.</w:t>
      </w:r>
    </w:p>
    <w:p w:rsidR="00C36C56" w:rsidRPr="00C36C56" w:rsidRDefault="00C36C56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u w:val="single"/>
        </w:rPr>
      </w:pPr>
      <w:r w:rsidRPr="00C36C56">
        <w:rPr>
          <w:sz w:val="24"/>
          <w:szCs w:val="24"/>
        </w:rPr>
        <w:t xml:space="preserve">Grant applications will not be accepted for Capital Campaigns.  </w:t>
      </w:r>
    </w:p>
    <w:p w:rsidR="00C36C56" w:rsidRPr="00C36C56" w:rsidRDefault="00C36C56" w:rsidP="00C36C56">
      <w:pPr>
        <w:numPr>
          <w:ilvl w:val="0"/>
          <w:numId w:val="10"/>
        </w:numPr>
        <w:rPr>
          <w:sz w:val="24"/>
          <w:szCs w:val="24"/>
        </w:rPr>
      </w:pPr>
      <w:r w:rsidRPr="00C36C56">
        <w:rPr>
          <w:sz w:val="24"/>
          <w:szCs w:val="24"/>
        </w:rPr>
        <w:t xml:space="preserve">Up to 20% of the requested amount can be used for operating support.  </w:t>
      </w:r>
    </w:p>
    <w:p w:rsidR="00216B93" w:rsidRPr="00C36C56" w:rsidRDefault="00216B93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u w:val="single"/>
        </w:rPr>
      </w:pPr>
      <w:r w:rsidRPr="00C36C56">
        <w:rPr>
          <w:sz w:val="24"/>
          <w:szCs w:val="24"/>
        </w:rPr>
        <w:t>Grant applications must clearly describe how the program/project would benefit from a two year funding cycle</w:t>
      </w:r>
      <w:r w:rsidR="00843BBC" w:rsidRPr="00C36C56">
        <w:rPr>
          <w:sz w:val="24"/>
          <w:szCs w:val="24"/>
        </w:rPr>
        <w:t xml:space="preserve"> and </w:t>
      </w:r>
      <w:r w:rsidR="00D464A5">
        <w:rPr>
          <w:sz w:val="24"/>
          <w:szCs w:val="24"/>
        </w:rPr>
        <w:t>include</w:t>
      </w:r>
      <w:r w:rsidR="00843BBC" w:rsidRPr="00C36C56">
        <w:rPr>
          <w:sz w:val="24"/>
          <w:szCs w:val="24"/>
        </w:rPr>
        <w:t xml:space="preserve"> a timeline marking projected milestones</w:t>
      </w:r>
      <w:r w:rsidRPr="00C36C56">
        <w:rPr>
          <w:sz w:val="24"/>
          <w:szCs w:val="24"/>
        </w:rPr>
        <w:t xml:space="preserve">. </w:t>
      </w:r>
    </w:p>
    <w:p w:rsidR="00810F84" w:rsidRPr="00C36C56" w:rsidRDefault="00810F84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C36C56">
        <w:rPr>
          <w:sz w:val="24"/>
          <w:szCs w:val="24"/>
        </w:rPr>
        <w:t xml:space="preserve">Grant requests </w:t>
      </w:r>
      <w:proofErr w:type="gramStart"/>
      <w:r w:rsidRPr="00C36C56">
        <w:rPr>
          <w:sz w:val="24"/>
          <w:szCs w:val="24"/>
        </w:rPr>
        <w:t>between $</w:t>
      </w:r>
      <w:r w:rsidR="00C3597C" w:rsidRPr="00C36C56">
        <w:rPr>
          <w:sz w:val="24"/>
          <w:szCs w:val="24"/>
        </w:rPr>
        <w:t>2</w:t>
      </w:r>
      <w:r w:rsidR="00606EC7" w:rsidRPr="00C36C56">
        <w:rPr>
          <w:sz w:val="24"/>
          <w:szCs w:val="24"/>
        </w:rPr>
        <w:t>0</w:t>
      </w:r>
      <w:r w:rsidRPr="00C36C56">
        <w:rPr>
          <w:sz w:val="24"/>
          <w:szCs w:val="24"/>
        </w:rPr>
        <w:t>00 - $</w:t>
      </w:r>
      <w:r w:rsidR="00606EC7" w:rsidRPr="00C36C56">
        <w:rPr>
          <w:sz w:val="24"/>
          <w:szCs w:val="24"/>
        </w:rPr>
        <w:t>10</w:t>
      </w:r>
      <w:r w:rsidRPr="00C36C56">
        <w:rPr>
          <w:sz w:val="24"/>
          <w:szCs w:val="24"/>
        </w:rPr>
        <w:t>,000</w:t>
      </w:r>
      <w:proofErr w:type="gramEnd"/>
      <w:r w:rsidRPr="00C36C56">
        <w:rPr>
          <w:sz w:val="24"/>
          <w:szCs w:val="24"/>
        </w:rPr>
        <w:t xml:space="preserve"> will be considered.</w:t>
      </w:r>
      <w:r w:rsidR="004F038A" w:rsidRPr="00C36C56">
        <w:rPr>
          <w:sz w:val="24"/>
          <w:szCs w:val="24"/>
        </w:rPr>
        <w:t xml:space="preserve">  Requested amounts are the total amount to be granted over a two year period.  </w:t>
      </w:r>
      <w:r w:rsidR="00D65FD0" w:rsidRPr="00C36C56">
        <w:rPr>
          <w:sz w:val="24"/>
          <w:szCs w:val="24"/>
        </w:rPr>
        <w:t>(Half of grant award to be granted out in 2013 and half in 2014).</w:t>
      </w:r>
    </w:p>
    <w:p w:rsidR="00F31D09" w:rsidRPr="00C10DB9" w:rsidRDefault="00810F84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F31D09">
        <w:rPr>
          <w:b/>
          <w:sz w:val="24"/>
          <w:szCs w:val="24"/>
        </w:rPr>
        <w:t xml:space="preserve">The grant award must be used by </w:t>
      </w:r>
      <w:r w:rsidR="00843BBC">
        <w:rPr>
          <w:b/>
          <w:sz w:val="24"/>
          <w:szCs w:val="24"/>
        </w:rPr>
        <w:t>November</w:t>
      </w:r>
      <w:r w:rsidRPr="00F31D09">
        <w:rPr>
          <w:b/>
          <w:sz w:val="24"/>
          <w:szCs w:val="24"/>
        </w:rPr>
        <w:t xml:space="preserve"> </w:t>
      </w:r>
      <w:r w:rsidR="00843BBC">
        <w:rPr>
          <w:b/>
          <w:sz w:val="24"/>
          <w:szCs w:val="24"/>
        </w:rPr>
        <w:t>2</w:t>
      </w:r>
      <w:r w:rsidRPr="00F31D09">
        <w:rPr>
          <w:b/>
          <w:sz w:val="24"/>
          <w:szCs w:val="24"/>
        </w:rPr>
        <w:t>, 201</w:t>
      </w:r>
      <w:r w:rsidR="00F31D09" w:rsidRPr="00F31D09">
        <w:rPr>
          <w:b/>
          <w:sz w:val="24"/>
          <w:szCs w:val="24"/>
        </w:rPr>
        <w:t>5</w:t>
      </w:r>
      <w:r w:rsidRPr="00F31D09">
        <w:rPr>
          <w:b/>
          <w:sz w:val="24"/>
          <w:szCs w:val="24"/>
        </w:rPr>
        <w:t xml:space="preserve"> with a</w:t>
      </w:r>
      <w:r w:rsidR="00F31D09" w:rsidRPr="00F31D09">
        <w:rPr>
          <w:b/>
          <w:sz w:val="24"/>
          <w:szCs w:val="24"/>
        </w:rPr>
        <w:t>n interim report submitted by September 18, 2014 and a</w:t>
      </w:r>
      <w:r w:rsidRPr="00F31D09">
        <w:rPr>
          <w:b/>
          <w:sz w:val="24"/>
          <w:szCs w:val="24"/>
        </w:rPr>
        <w:t xml:space="preserve"> final report submitted by </w:t>
      </w:r>
      <w:r w:rsidR="00843BBC">
        <w:rPr>
          <w:b/>
          <w:sz w:val="24"/>
          <w:szCs w:val="24"/>
        </w:rPr>
        <w:t>December 31</w:t>
      </w:r>
      <w:r w:rsidRPr="00F31D09">
        <w:rPr>
          <w:b/>
          <w:sz w:val="24"/>
          <w:szCs w:val="24"/>
        </w:rPr>
        <w:t>, 201</w:t>
      </w:r>
      <w:r w:rsidR="00F31D09" w:rsidRPr="00F31D09">
        <w:rPr>
          <w:b/>
          <w:sz w:val="24"/>
          <w:szCs w:val="24"/>
        </w:rPr>
        <w:t>5</w:t>
      </w:r>
      <w:r w:rsidRPr="00F31D09">
        <w:rPr>
          <w:b/>
          <w:sz w:val="24"/>
          <w:szCs w:val="24"/>
        </w:rPr>
        <w:t xml:space="preserve">.  </w:t>
      </w:r>
    </w:p>
    <w:p w:rsidR="00C10DB9" w:rsidRDefault="00C10DB9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C10DB9">
        <w:rPr>
          <w:sz w:val="24"/>
          <w:szCs w:val="24"/>
        </w:rPr>
        <w:lastRenderedPageBreak/>
        <w:t>The second year’s</w:t>
      </w:r>
      <w:r w:rsidR="00533954">
        <w:rPr>
          <w:sz w:val="24"/>
          <w:szCs w:val="24"/>
        </w:rPr>
        <w:t xml:space="preserve"> grant portion will be released c</w:t>
      </w:r>
      <w:r w:rsidR="00C3597C">
        <w:rPr>
          <w:sz w:val="24"/>
          <w:szCs w:val="24"/>
        </w:rPr>
        <w:t>ontingent on review of the</w:t>
      </w:r>
      <w:r w:rsidRPr="00C10DB9">
        <w:rPr>
          <w:sz w:val="24"/>
          <w:szCs w:val="24"/>
        </w:rPr>
        <w:t xml:space="preserve"> interim report.  </w:t>
      </w:r>
    </w:p>
    <w:p w:rsidR="002733D2" w:rsidRDefault="002733D2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Requests for budget/program modifications should be included with the interim report.  </w:t>
      </w:r>
    </w:p>
    <w:p w:rsidR="00C10DB9" w:rsidRPr="00C10DB9" w:rsidRDefault="00C10DB9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Acceptance of a grant award </w:t>
      </w:r>
      <w:r w:rsidR="00C3597C">
        <w:rPr>
          <w:sz w:val="24"/>
          <w:szCs w:val="24"/>
        </w:rPr>
        <w:t xml:space="preserve">indicates willingness to </w:t>
      </w:r>
      <w:r w:rsidR="00843BBC">
        <w:rPr>
          <w:sz w:val="24"/>
          <w:szCs w:val="24"/>
        </w:rPr>
        <w:t>host</w:t>
      </w:r>
      <w:r>
        <w:rPr>
          <w:sz w:val="24"/>
          <w:szCs w:val="24"/>
        </w:rPr>
        <w:t xml:space="preserve"> a site visit by one or more Community Foundation representatives during the grant period.  </w:t>
      </w:r>
    </w:p>
    <w:p w:rsidR="00AE49EB" w:rsidRPr="00F31D09" w:rsidRDefault="00AE49EB" w:rsidP="00810F8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F31D09">
        <w:rPr>
          <w:sz w:val="24"/>
          <w:szCs w:val="24"/>
        </w:rPr>
        <w:t>Please contact the Community Foundation for information about collaborative applications involving</w:t>
      </w:r>
      <w:r w:rsidR="00C10DB9">
        <w:rPr>
          <w:sz w:val="24"/>
          <w:szCs w:val="24"/>
        </w:rPr>
        <w:t xml:space="preserve"> two or more organizations or if your organization uses a fiscal sponsor.  </w:t>
      </w:r>
      <w:r w:rsidRPr="00F31D09">
        <w:rPr>
          <w:sz w:val="24"/>
          <w:szCs w:val="24"/>
        </w:rPr>
        <w:t xml:space="preserve">  </w:t>
      </w:r>
    </w:p>
    <w:p w:rsidR="00D6043A" w:rsidRDefault="00D6043A" w:rsidP="0053395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Eligible a</w:t>
      </w:r>
      <w:r w:rsidR="00810F84" w:rsidRPr="00AE49EB">
        <w:rPr>
          <w:sz w:val="24"/>
          <w:szCs w:val="24"/>
        </w:rPr>
        <w:t>pplicants must be</w:t>
      </w:r>
      <w:r>
        <w:rPr>
          <w:sz w:val="24"/>
          <w:szCs w:val="24"/>
        </w:rPr>
        <w:t xml:space="preserve"> located in Tompkins County </w:t>
      </w:r>
      <w:r w:rsidR="00CE182F">
        <w:rPr>
          <w:sz w:val="24"/>
          <w:szCs w:val="24"/>
        </w:rPr>
        <w:t xml:space="preserve">and </w:t>
      </w:r>
      <w:r>
        <w:rPr>
          <w:sz w:val="24"/>
          <w:szCs w:val="24"/>
        </w:rPr>
        <w:t>provid</w:t>
      </w:r>
      <w:r w:rsidR="00CE182F">
        <w:rPr>
          <w:sz w:val="24"/>
          <w:szCs w:val="24"/>
        </w:rPr>
        <w:t>e</w:t>
      </w:r>
      <w:r>
        <w:rPr>
          <w:sz w:val="24"/>
          <w:szCs w:val="24"/>
        </w:rPr>
        <w:t xml:space="preserve"> services </w:t>
      </w:r>
      <w:r w:rsidR="007C4B60">
        <w:rPr>
          <w:sz w:val="24"/>
          <w:szCs w:val="24"/>
        </w:rPr>
        <w:t xml:space="preserve">for a charitable purpose </w:t>
      </w:r>
      <w:r>
        <w:rPr>
          <w:sz w:val="24"/>
          <w:szCs w:val="24"/>
        </w:rPr>
        <w:t xml:space="preserve">to residents of </w:t>
      </w:r>
      <w:r w:rsidRPr="00A13FD5">
        <w:rPr>
          <w:sz w:val="24"/>
          <w:szCs w:val="24"/>
        </w:rPr>
        <w:t>Tompkins County</w:t>
      </w:r>
      <w:r w:rsidR="007C4B60">
        <w:rPr>
          <w:sz w:val="24"/>
          <w:szCs w:val="24"/>
        </w:rPr>
        <w:t xml:space="preserve">.  Applicants must </w:t>
      </w:r>
      <w:r>
        <w:rPr>
          <w:sz w:val="24"/>
          <w:szCs w:val="24"/>
        </w:rPr>
        <w:t xml:space="preserve">also </w:t>
      </w:r>
      <w:r w:rsidR="007C4B60">
        <w:rPr>
          <w:sz w:val="24"/>
          <w:szCs w:val="24"/>
        </w:rPr>
        <w:t xml:space="preserve">be </w:t>
      </w:r>
      <w:r>
        <w:rPr>
          <w:sz w:val="24"/>
          <w:szCs w:val="24"/>
        </w:rPr>
        <w:t>one of the following:</w:t>
      </w:r>
      <w:r w:rsidR="00810F84" w:rsidRPr="00AE49EB">
        <w:rPr>
          <w:sz w:val="24"/>
          <w:szCs w:val="24"/>
        </w:rPr>
        <w:t xml:space="preserve"> </w:t>
      </w:r>
    </w:p>
    <w:p w:rsidR="00D6043A" w:rsidRDefault="00D6043A" w:rsidP="00533954">
      <w:pPr>
        <w:numPr>
          <w:ilvl w:val="1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501(c)3, </w:t>
      </w:r>
      <w:r w:rsidR="00810F84" w:rsidRPr="00AE49EB">
        <w:rPr>
          <w:sz w:val="24"/>
          <w:szCs w:val="24"/>
        </w:rPr>
        <w:t>not-for-profit</w:t>
      </w:r>
      <w:r w:rsidR="00810F84">
        <w:rPr>
          <w:sz w:val="24"/>
          <w:szCs w:val="24"/>
        </w:rPr>
        <w:t xml:space="preserve"> organization</w:t>
      </w:r>
      <w:r>
        <w:rPr>
          <w:sz w:val="24"/>
          <w:szCs w:val="24"/>
        </w:rPr>
        <w:t xml:space="preserve"> </w:t>
      </w:r>
    </w:p>
    <w:p w:rsidR="00D6043A" w:rsidRDefault="007C4B60" w:rsidP="00533954">
      <w:pPr>
        <w:numPr>
          <w:ilvl w:val="1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Government (e.g. </w:t>
      </w:r>
      <w:r w:rsidR="00D6043A">
        <w:rPr>
          <w:sz w:val="24"/>
          <w:szCs w:val="24"/>
        </w:rPr>
        <w:t>school</w:t>
      </w:r>
      <w:r>
        <w:rPr>
          <w:sz w:val="24"/>
          <w:szCs w:val="24"/>
        </w:rPr>
        <w:t>s, municipality)</w:t>
      </w:r>
      <w:r w:rsidR="00D6043A">
        <w:rPr>
          <w:sz w:val="24"/>
          <w:szCs w:val="24"/>
        </w:rPr>
        <w:t xml:space="preserve"> </w:t>
      </w:r>
    </w:p>
    <w:p w:rsidR="00D6043A" w:rsidRPr="007C4B60" w:rsidRDefault="00D6043A" w:rsidP="00533954">
      <w:pPr>
        <w:numPr>
          <w:ilvl w:val="1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religious organization</w:t>
      </w:r>
      <w:r w:rsidR="00810F84">
        <w:rPr>
          <w:sz w:val="24"/>
          <w:szCs w:val="24"/>
        </w:rPr>
        <w:t xml:space="preserve"> </w:t>
      </w:r>
      <w:r w:rsidR="007C4B60">
        <w:rPr>
          <w:sz w:val="24"/>
          <w:szCs w:val="24"/>
        </w:rPr>
        <w:t>(to support non-religious activities directed toward a public purpose)</w:t>
      </w:r>
      <w:r w:rsidRPr="007C4B60">
        <w:rPr>
          <w:sz w:val="24"/>
          <w:szCs w:val="24"/>
        </w:rPr>
        <w:t xml:space="preserve"> </w:t>
      </w:r>
    </w:p>
    <w:p w:rsidR="00810F84" w:rsidRDefault="00533954" w:rsidP="0053395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There will be an informational </w:t>
      </w:r>
      <w:r w:rsidR="00810F84" w:rsidRPr="003250B5">
        <w:rPr>
          <w:sz w:val="24"/>
          <w:szCs w:val="24"/>
        </w:rPr>
        <w:t xml:space="preserve">meeting about this grant cycle from </w:t>
      </w:r>
      <w:r w:rsidR="00BA2BC4">
        <w:rPr>
          <w:sz w:val="24"/>
          <w:szCs w:val="24"/>
        </w:rPr>
        <w:t>2-3PM</w:t>
      </w:r>
      <w:r w:rsidR="00810F84" w:rsidRPr="003250B5">
        <w:rPr>
          <w:sz w:val="24"/>
          <w:szCs w:val="24"/>
        </w:rPr>
        <w:t xml:space="preserve"> on </w:t>
      </w:r>
      <w:r w:rsidR="00843BBC">
        <w:rPr>
          <w:b/>
          <w:sz w:val="24"/>
          <w:szCs w:val="24"/>
        </w:rPr>
        <w:t>Thursday</w:t>
      </w:r>
      <w:r w:rsidR="00A655A1" w:rsidRPr="00990451">
        <w:rPr>
          <w:b/>
          <w:sz w:val="24"/>
          <w:szCs w:val="24"/>
        </w:rPr>
        <w:t xml:space="preserve">, </w:t>
      </w:r>
      <w:r w:rsidR="00810F84" w:rsidRPr="00990451">
        <w:rPr>
          <w:b/>
          <w:sz w:val="24"/>
          <w:szCs w:val="24"/>
        </w:rPr>
        <w:t>Sept</w:t>
      </w:r>
      <w:r w:rsidR="00A655A1" w:rsidRPr="00990451">
        <w:rPr>
          <w:b/>
          <w:sz w:val="24"/>
          <w:szCs w:val="24"/>
        </w:rPr>
        <w:t>ember</w:t>
      </w:r>
      <w:r w:rsidR="00810F84" w:rsidRPr="00990451">
        <w:rPr>
          <w:b/>
          <w:sz w:val="24"/>
          <w:szCs w:val="24"/>
        </w:rPr>
        <w:t xml:space="preserve"> </w:t>
      </w:r>
      <w:r w:rsidR="00BA2BC4">
        <w:rPr>
          <w:b/>
          <w:sz w:val="24"/>
          <w:szCs w:val="24"/>
        </w:rPr>
        <w:t>10</w:t>
      </w:r>
      <w:r w:rsidR="00810F84" w:rsidRPr="00990451">
        <w:rPr>
          <w:b/>
          <w:sz w:val="24"/>
          <w:szCs w:val="24"/>
          <w:vertAlign w:val="superscript"/>
        </w:rPr>
        <w:t>th</w:t>
      </w:r>
      <w:r w:rsidR="00810F84">
        <w:rPr>
          <w:sz w:val="24"/>
          <w:szCs w:val="24"/>
        </w:rPr>
        <w:t xml:space="preserve"> </w:t>
      </w:r>
      <w:r w:rsidR="00843BBC">
        <w:rPr>
          <w:sz w:val="24"/>
          <w:szCs w:val="24"/>
        </w:rPr>
        <w:t xml:space="preserve">at Cooperative Extension, Rm. A.  </w:t>
      </w:r>
      <w:r w:rsidR="00810F84">
        <w:rPr>
          <w:sz w:val="24"/>
          <w:szCs w:val="24"/>
        </w:rPr>
        <w:t xml:space="preserve">This meeting is not required, but will be an opportunity to ask questions about the application and grant cycle.  </w:t>
      </w:r>
    </w:p>
    <w:p w:rsidR="00A655A1" w:rsidRPr="00D05D04" w:rsidRDefault="00A655A1" w:rsidP="0053395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D05D04">
        <w:rPr>
          <w:sz w:val="24"/>
          <w:szCs w:val="24"/>
        </w:rPr>
        <w:t>Please direct questions about completing your application to Janet Cotraccia</w:t>
      </w:r>
      <w:r>
        <w:rPr>
          <w:sz w:val="24"/>
          <w:szCs w:val="24"/>
        </w:rPr>
        <w:t>, Program Officer,</w:t>
      </w:r>
      <w:r w:rsidRPr="00D05D04">
        <w:rPr>
          <w:sz w:val="24"/>
          <w:szCs w:val="24"/>
        </w:rPr>
        <w:t xml:space="preserve"> at </w:t>
      </w:r>
      <w:hyperlink r:id="rId8" w:history="1">
        <w:r w:rsidRPr="008D3445">
          <w:rPr>
            <w:rStyle w:val="Hyperlink"/>
            <w:sz w:val="24"/>
            <w:szCs w:val="24"/>
          </w:rPr>
          <w:t>jcotraccia@cftompkins.org</w:t>
        </w:r>
      </w:hyperlink>
      <w:r w:rsidRPr="00D05D04">
        <w:rPr>
          <w:sz w:val="24"/>
          <w:szCs w:val="24"/>
        </w:rPr>
        <w:t xml:space="preserve"> or (607) 272-9333.   </w:t>
      </w:r>
    </w:p>
    <w:p w:rsidR="00810F84" w:rsidRPr="00843BBC" w:rsidRDefault="00810F84" w:rsidP="0053395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43BBC">
        <w:rPr>
          <w:b/>
          <w:sz w:val="24"/>
          <w:szCs w:val="24"/>
        </w:rPr>
        <w:t xml:space="preserve">A complete application must be submitted electronically to </w:t>
      </w:r>
      <w:hyperlink r:id="rId9" w:history="1">
        <w:r w:rsidR="00FB52A9">
          <w:rPr>
            <w:rStyle w:val="Hyperlink"/>
            <w:b/>
            <w:sz w:val="24"/>
            <w:szCs w:val="24"/>
          </w:rPr>
          <w:t>info</w:t>
        </w:r>
        <w:bookmarkStart w:id="0" w:name="_GoBack"/>
        <w:bookmarkEnd w:id="0"/>
        <w:r w:rsidR="00AE49EB" w:rsidRPr="00843BBC">
          <w:rPr>
            <w:rStyle w:val="Hyperlink"/>
            <w:b/>
            <w:sz w:val="24"/>
            <w:szCs w:val="24"/>
          </w:rPr>
          <w:t>@cftompkins.org</w:t>
        </w:r>
      </w:hyperlink>
      <w:r w:rsidRPr="00843BBC">
        <w:rPr>
          <w:b/>
          <w:sz w:val="24"/>
          <w:szCs w:val="24"/>
        </w:rPr>
        <w:t xml:space="preserve">  by 5 pm on </w:t>
      </w:r>
      <w:r w:rsidR="00A655A1" w:rsidRPr="00843BBC">
        <w:rPr>
          <w:b/>
          <w:sz w:val="24"/>
          <w:szCs w:val="24"/>
        </w:rPr>
        <w:t xml:space="preserve">Wednesday, </w:t>
      </w:r>
      <w:r w:rsidRPr="00843BBC">
        <w:rPr>
          <w:b/>
          <w:sz w:val="24"/>
          <w:szCs w:val="24"/>
        </w:rPr>
        <w:t>September 1</w:t>
      </w:r>
      <w:r w:rsidR="00F31D09" w:rsidRPr="00843BBC">
        <w:rPr>
          <w:b/>
          <w:sz w:val="24"/>
          <w:szCs w:val="24"/>
        </w:rPr>
        <w:t>8</w:t>
      </w:r>
      <w:r w:rsidRPr="00843BBC">
        <w:rPr>
          <w:b/>
          <w:sz w:val="24"/>
          <w:szCs w:val="24"/>
          <w:vertAlign w:val="superscript"/>
        </w:rPr>
        <w:t>th</w:t>
      </w:r>
      <w:r w:rsidRPr="00843BBC">
        <w:rPr>
          <w:b/>
          <w:sz w:val="24"/>
          <w:szCs w:val="24"/>
        </w:rPr>
        <w:t>, 201</w:t>
      </w:r>
      <w:r w:rsidR="00F31D09" w:rsidRPr="00843BBC">
        <w:rPr>
          <w:b/>
          <w:sz w:val="24"/>
          <w:szCs w:val="24"/>
        </w:rPr>
        <w:t>3</w:t>
      </w:r>
      <w:r w:rsidRPr="00843BBC">
        <w:rPr>
          <w:b/>
          <w:sz w:val="24"/>
          <w:szCs w:val="24"/>
        </w:rPr>
        <w:t>.</w:t>
      </w:r>
      <w:r w:rsidRPr="00843BBC">
        <w:rPr>
          <w:sz w:val="24"/>
          <w:szCs w:val="24"/>
        </w:rPr>
        <w:t xml:space="preserve">  Applications can be found at </w:t>
      </w:r>
      <w:hyperlink r:id="rId10" w:history="1">
        <w:r w:rsidR="00AE49EB" w:rsidRPr="00843BBC">
          <w:rPr>
            <w:rStyle w:val="Hyperlink"/>
            <w:sz w:val="24"/>
            <w:szCs w:val="24"/>
          </w:rPr>
          <w:t>www.cftompkins.org</w:t>
        </w:r>
      </w:hyperlink>
      <w:r w:rsidR="00A655A1" w:rsidRPr="00843BBC">
        <w:rPr>
          <w:sz w:val="24"/>
          <w:szCs w:val="24"/>
        </w:rPr>
        <w:t xml:space="preserve">.  </w:t>
      </w:r>
      <w:r w:rsidR="00A655A1" w:rsidRPr="00843BBC">
        <w:rPr>
          <w:b/>
          <w:sz w:val="24"/>
          <w:szCs w:val="24"/>
        </w:rPr>
        <w:t>Late applications will not be accepted.</w:t>
      </w:r>
      <w:r w:rsidR="00A655A1" w:rsidRPr="00843BBC">
        <w:rPr>
          <w:sz w:val="24"/>
          <w:szCs w:val="24"/>
        </w:rPr>
        <w:t xml:space="preserve">  </w:t>
      </w:r>
      <w:r w:rsidRPr="00843BBC">
        <w:rPr>
          <w:sz w:val="24"/>
          <w:szCs w:val="24"/>
        </w:rPr>
        <w:t xml:space="preserve">The signature sheet is required for an application to be considered complete.   </w:t>
      </w:r>
    </w:p>
    <w:p w:rsidR="00810F84" w:rsidRDefault="00810F84" w:rsidP="00533954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06DB3">
        <w:rPr>
          <w:sz w:val="24"/>
          <w:szCs w:val="24"/>
        </w:rPr>
        <w:t xml:space="preserve">Applications meeting the requirements will be assessed by a review team with final approval by the Board of Directors.  </w:t>
      </w:r>
      <w:r>
        <w:rPr>
          <w:sz w:val="24"/>
          <w:szCs w:val="24"/>
        </w:rPr>
        <w:t>Awards will be announced in late November, 201</w:t>
      </w:r>
      <w:r w:rsidR="00F31D09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</w:p>
    <w:p w:rsidR="00810F84" w:rsidRDefault="00810F84" w:rsidP="00810F84">
      <w:pPr>
        <w:autoSpaceDE w:val="0"/>
        <w:autoSpaceDN w:val="0"/>
        <w:adjustRightInd w:val="0"/>
        <w:ind w:left="810"/>
        <w:rPr>
          <w:b/>
          <w:bCs/>
          <w:sz w:val="24"/>
          <w:szCs w:val="24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BB5" w:rsidRDefault="00F37BB5" w:rsidP="00810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F37BB5" w:rsidSect="00F37BB5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6F" w:rsidRDefault="00F9206F">
      <w:r>
        <w:separator/>
      </w:r>
    </w:p>
  </w:endnote>
  <w:endnote w:type="continuationSeparator" w:id="0">
    <w:p w:rsidR="00F9206F" w:rsidRDefault="00F9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84" w:rsidRPr="006452E9" w:rsidRDefault="00F9206F" w:rsidP="00810F84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3.75pt;margin-top:8.8pt;width:378pt;height:27pt;z-index:251657728;mso-wrap-edited:f" wrapcoords="-43 0 -43 21000 21600 21000 21600 0 -43 0" stroked="f">
          <v:textbox style="mso-next-textbox:#_x0000_s2052">
            <w:txbxContent>
              <w:p w:rsidR="00810F84" w:rsidRDefault="00810F84" w:rsidP="00810F84">
                <w:pPr>
                  <w:jc w:val="center"/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</w:pP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>309 North Aurora St</w:t>
                </w:r>
                <w:r w:rsidR="00A655A1"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>.</w:t>
                </w: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 xml:space="preserve">, Ithaca, New York 14850      </w:t>
                </w:r>
                <w:r>
                  <w:rPr>
                    <w:rFonts w:ascii="Minion Pro Cond" w:hAnsi="Minion Pro Cond"/>
                    <w:color w:val="003366"/>
                    <w:sz w:val="14"/>
                    <w:szCs w:val="16"/>
                  </w:rPr>
                  <w:t>PHONE:</w:t>
                </w: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 xml:space="preserve"> </w:t>
                </w:r>
                <w:r w:rsidR="00A655A1"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>(</w:t>
                </w: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>607</w:t>
                </w:r>
                <w:r w:rsidR="00A655A1"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>)</w:t>
                </w: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 xml:space="preserve"> 272-9333</w:t>
                </w:r>
              </w:p>
              <w:p w:rsidR="00810F84" w:rsidRDefault="00810F84" w:rsidP="00810F84">
                <w:pPr>
                  <w:jc w:val="center"/>
                </w:pPr>
                <w:r>
                  <w:rPr>
                    <w:rFonts w:ascii="Minion Pro Cond" w:hAnsi="Minion Pro Cond"/>
                    <w:color w:val="003366"/>
                    <w:sz w:val="14"/>
                    <w:szCs w:val="16"/>
                  </w:rPr>
                  <w:t xml:space="preserve"> </w:t>
                </w: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>www.cftompkinsoftc.org</w:t>
                </w:r>
              </w:p>
            </w:txbxContent>
          </v:textbox>
        </v:shape>
      </w:pict>
    </w:r>
    <w:r w:rsidR="0060681F">
      <w:rPr>
        <w:i/>
        <w:sz w:val="16"/>
        <w:szCs w:val="16"/>
      </w:rPr>
      <w:t xml:space="preserve">Revised </w:t>
    </w:r>
    <w:r w:rsidR="002733D2">
      <w:rPr>
        <w:i/>
        <w:sz w:val="16"/>
        <w:szCs w:val="16"/>
      </w:rPr>
      <w:t>7</w:t>
    </w:r>
    <w:r w:rsidR="00F31D09">
      <w:rPr>
        <w:i/>
        <w:sz w:val="16"/>
        <w:szCs w:val="16"/>
      </w:rPr>
      <w:t>/</w:t>
    </w:r>
    <w:r w:rsidR="002733D2">
      <w:rPr>
        <w:i/>
        <w:sz w:val="16"/>
        <w:szCs w:val="16"/>
      </w:rPr>
      <w:t>11</w:t>
    </w:r>
    <w:r w:rsidR="00F31D09">
      <w:rPr>
        <w:i/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6F" w:rsidRDefault="00F9206F">
      <w:r>
        <w:separator/>
      </w:r>
    </w:p>
  </w:footnote>
  <w:footnote w:type="continuationSeparator" w:id="0">
    <w:p w:rsidR="00F9206F" w:rsidRDefault="00F9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B2D"/>
    <w:multiLevelType w:val="multilevel"/>
    <w:tmpl w:val="98A8F9BA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  <w:sz w:val="20"/>
      </w:rPr>
    </w:lvl>
  </w:abstractNum>
  <w:abstractNum w:abstractNumId="5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inion Pro C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inion Pro C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inion Pro C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4736"/>
    <w:multiLevelType w:val="hybridMultilevel"/>
    <w:tmpl w:val="543A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085777"/>
    <w:multiLevelType w:val="hybridMultilevel"/>
    <w:tmpl w:val="60B0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1FB7"/>
    <w:multiLevelType w:val="hybridMultilevel"/>
    <w:tmpl w:val="DF0A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inion Pro Con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inion Pro Cond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inion Pro Cond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BA7"/>
    <w:rsid w:val="000368D5"/>
    <w:rsid w:val="000B0AFF"/>
    <w:rsid w:val="001543B6"/>
    <w:rsid w:val="0016763F"/>
    <w:rsid w:val="00167ED1"/>
    <w:rsid w:val="001D5E73"/>
    <w:rsid w:val="00216B93"/>
    <w:rsid w:val="002178B6"/>
    <w:rsid w:val="002733D2"/>
    <w:rsid w:val="002E3EE3"/>
    <w:rsid w:val="002E7E51"/>
    <w:rsid w:val="00364BA7"/>
    <w:rsid w:val="00365EF6"/>
    <w:rsid w:val="003F71CE"/>
    <w:rsid w:val="00430748"/>
    <w:rsid w:val="004B46EC"/>
    <w:rsid w:val="004F038A"/>
    <w:rsid w:val="00533954"/>
    <w:rsid w:val="005A1173"/>
    <w:rsid w:val="0060681F"/>
    <w:rsid w:val="00606EC7"/>
    <w:rsid w:val="0061464E"/>
    <w:rsid w:val="006A05CB"/>
    <w:rsid w:val="006C456D"/>
    <w:rsid w:val="00722ED2"/>
    <w:rsid w:val="00775583"/>
    <w:rsid w:val="00777FE1"/>
    <w:rsid w:val="007C4B60"/>
    <w:rsid w:val="007F36BB"/>
    <w:rsid w:val="007F5D29"/>
    <w:rsid w:val="00810F84"/>
    <w:rsid w:val="00843BBC"/>
    <w:rsid w:val="008D52D5"/>
    <w:rsid w:val="00903BB8"/>
    <w:rsid w:val="009608E1"/>
    <w:rsid w:val="00990451"/>
    <w:rsid w:val="009C202B"/>
    <w:rsid w:val="00A655A1"/>
    <w:rsid w:val="00AD0F23"/>
    <w:rsid w:val="00AE49EB"/>
    <w:rsid w:val="00B25889"/>
    <w:rsid w:val="00BA2BC4"/>
    <w:rsid w:val="00BA4009"/>
    <w:rsid w:val="00C10DB9"/>
    <w:rsid w:val="00C303DC"/>
    <w:rsid w:val="00C3597C"/>
    <w:rsid w:val="00C36C56"/>
    <w:rsid w:val="00C74DBC"/>
    <w:rsid w:val="00CE182F"/>
    <w:rsid w:val="00D15BE4"/>
    <w:rsid w:val="00D25650"/>
    <w:rsid w:val="00D464A5"/>
    <w:rsid w:val="00D56BD5"/>
    <w:rsid w:val="00D6043A"/>
    <w:rsid w:val="00D65FD0"/>
    <w:rsid w:val="00D727A8"/>
    <w:rsid w:val="00DA55A4"/>
    <w:rsid w:val="00F31D09"/>
    <w:rsid w:val="00F37BB5"/>
    <w:rsid w:val="00F40B36"/>
    <w:rsid w:val="00F9206F"/>
    <w:rsid w:val="00FA7D37"/>
    <w:rsid w:val="00FB52A9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A4EEFE9-DDAD-41EF-98CF-5127C591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79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traccia@cftompkin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ftompki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otraccia@cftompk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 Ithaca City Schools</Company>
  <LinksUpToDate>false</LinksUpToDate>
  <CharactersWithSpaces>4023</CharactersWithSpaces>
  <SharedDoc>false</SharedDoc>
  <HLinks>
    <vt:vector size="18" baseType="variant">
      <vt:variant>
        <vt:i4>2555963</vt:i4>
      </vt:variant>
      <vt:variant>
        <vt:i4>6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subject/>
  <dc:creator>Alex Stagliano</dc:creator>
  <cp:keywords/>
  <dc:description/>
  <cp:lastModifiedBy>George Ferrari</cp:lastModifiedBy>
  <cp:revision>4</cp:revision>
  <cp:lastPrinted>2013-06-19T18:23:00Z</cp:lastPrinted>
  <dcterms:created xsi:type="dcterms:W3CDTF">2013-07-15T18:13:00Z</dcterms:created>
  <dcterms:modified xsi:type="dcterms:W3CDTF">2013-08-29T18:39:00Z</dcterms:modified>
</cp:coreProperties>
</file>