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6858"/>
        <w:gridCol w:w="3006"/>
      </w:tblGrid>
      <w:tr w:rsidR="002135AF" w:rsidRPr="001B3C81">
        <w:tc>
          <w:tcPr>
            <w:tcW w:w="6858" w:type="dxa"/>
            <w:shd w:val="clear" w:color="auto" w:fill="auto"/>
          </w:tcPr>
          <w:p w:rsidR="00063531" w:rsidRPr="001B3C81" w:rsidRDefault="00063531" w:rsidP="002135AF">
            <w:pPr>
              <w:rPr>
                <w:sz w:val="22"/>
                <w:szCs w:val="22"/>
              </w:rPr>
            </w:pPr>
            <w:r w:rsidRPr="001B3C81">
              <w:rPr>
                <w:sz w:val="22"/>
                <w:szCs w:val="22"/>
                <w:u w:val="single"/>
              </w:rPr>
              <w:t>For Immediate Release</w:t>
            </w:r>
          </w:p>
          <w:p w:rsidR="002135AF" w:rsidRPr="001B3C81" w:rsidRDefault="004C4644" w:rsidP="002135AF">
            <w:pPr>
              <w:rPr>
                <w:sz w:val="22"/>
                <w:szCs w:val="22"/>
                <w:u w:val="single"/>
              </w:rPr>
            </w:pPr>
            <w:r>
              <w:rPr>
                <w:noProof/>
                <w:sz w:val="22"/>
                <w:szCs w:val="22"/>
                <w:u w:val="single"/>
              </w:rPr>
              <w:drawing>
                <wp:inline distT="0" distB="0" distL="0" distR="0">
                  <wp:extent cx="3657600" cy="942975"/>
                  <wp:effectExtent l="19050" t="0" r="0" b="0"/>
                  <wp:docPr id="1" name="Picture 1" descr="C:\Documents and Settings\George\My Documents\GPF\Public Relations and Marketing\CFTC Logos\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eorge\My Documents\GPF\Public Relations and Marketing\CFTC Logos\CFTC Logo MAY 2011.tif"/>
                          <pic:cNvPicPr>
                            <a:picLocks noChangeAspect="1" noChangeArrowheads="1"/>
                          </pic:cNvPicPr>
                        </pic:nvPicPr>
                        <pic:blipFill>
                          <a:blip r:embed="rId4" cstate="print"/>
                          <a:srcRect/>
                          <a:stretch>
                            <a:fillRect/>
                          </a:stretch>
                        </pic:blipFill>
                        <pic:spPr bwMode="auto">
                          <a:xfrm>
                            <a:off x="0" y="0"/>
                            <a:ext cx="3657600" cy="942975"/>
                          </a:xfrm>
                          <a:prstGeom prst="rect">
                            <a:avLst/>
                          </a:prstGeom>
                          <a:noFill/>
                          <a:ln w="9525">
                            <a:noFill/>
                            <a:miter lim="800000"/>
                            <a:headEnd/>
                            <a:tailEnd/>
                          </a:ln>
                        </pic:spPr>
                      </pic:pic>
                    </a:graphicData>
                  </a:graphic>
                </wp:inline>
              </w:drawing>
            </w:r>
          </w:p>
        </w:tc>
        <w:tc>
          <w:tcPr>
            <w:tcW w:w="3006" w:type="dxa"/>
            <w:shd w:val="clear" w:color="auto" w:fill="auto"/>
          </w:tcPr>
          <w:p w:rsidR="00EF527F" w:rsidRPr="001B3C81" w:rsidRDefault="00EF527F" w:rsidP="002135AF">
            <w:pPr>
              <w:rPr>
                <w:sz w:val="22"/>
                <w:szCs w:val="22"/>
              </w:rPr>
            </w:pPr>
            <w:r w:rsidRPr="001B3C81">
              <w:rPr>
                <w:sz w:val="22"/>
                <w:szCs w:val="22"/>
              </w:rPr>
              <w:t xml:space="preserve">George Ferrari, </w:t>
            </w:r>
          </w:p>
          <w:p w:rsidR="002135AF" w:rsidRPr="001B3C81" w:rsidRDefault="00EF527F" w:rsidP="002135AF">
            <w:pPr>
              <w:rPr>
                <w:sz w:val="22"/>
                <w:szCs w:val="22"/>
              </w:rPr>
            </w:pPr>
            <w:r w:rsidRPr="001B3C81">
              <w:rPr>
                <w:sz w:val="22"/>
                <w:szCs w:val="22"/>
              </w:rPr>
              <w:t>Executive Director</w:t>
            </w:r>
          </w:p>
          <w:p w:rsidR="002135AF" w:rsidRPr="001B3C81" w:rsidRDefault="002135AF" w:rsidP="002135AF">
            <w:pPr>
              <w:rPr>
                <w:sz w:val="22"/>
                <w:szCs w:val="22"/>
              </w:rPr>
            </w:pPr>
            <w:r w:rsidRPr="001B3C81">
              <w:rPr>
                <w:sz w:val="22"/>
                <w:szCs w:val="22"/>
              </w:rPr>
              <w:t xml:space="preserve">Community Foundation </w:t>
            </w:r>
            <w:r w:rsidR="00EF527F" w:rsidRPr="001B3C81">
              <w:rPr>
                <w:sz w:val="22"/>
                <w:szCs w:val="22"/>
              </w:rPr>
              <w:t>of Tompkins County</w:t>
            </w:r>
          </w:p>
          <w:p w:rsidR="002135AF" w:rsidRPr="001B3C81" w:rsidRDefault="00EF527F" w:rsidP="002135AF">
            <w:pPr>
              <w:rPr>
                <w:sz w:val="22"/>
                <w:szCs w:val="22"/>
              </w:rPr>
            </w:pPr>
            <w:r w:rsidRPr="001B3C81">
              <w:rPr>
                <w:sz w:val="22"/>
                <w:szCs w:val="22"/>
              </w:rPr>
              <w:t>272-9333</w:t>
            </w:r>
          </w:p>
          <w:p w:rsidR="002135AF" w:rsidRPr="001B3C81" w:rsidRDefault="00EF527F" w:rsidP="00EF527F">
            <w:pPr>
              <w:rPr>
                <w:sz w:val="22"/>
                <w:szCs w:val="22"/>
                <w:u w:val="single"/>
              </w:rPr>
            </w:pPr>
            <w:r w:rsidRPr="001B3C81">
              <w:rPr>
                <w:sz w:val="22"/>
                <w:szCs w:val="22"/>
              </w:rPr>
              <w:t>gferrari@cftompkins.org</w:t>
            </w:r>
          </w:p>
        </w:tc>
      </w:tr>
    </w:tbl>
    <w:p w:rsidR="002135AF" w:rsidRPr="001B3C81" w:rsidRDefault="002135AF">
      <w:pPr>
        <w:tabs>
          <w:tab w:val="left" w:pos="5220"/>
          <w:tab w:val="left" w:pos="6210"/>
        </w:tabs>
        <w:rPr>
          <w:sz w:val="22"/>
          <w:szCs w:val="22"/>
          <w:u w:val="single"/>
        </w:rPr>
      </w:pPr>
    </w:p>
    <w:p w:rsidR="002135AF" w:rsidRPr="001B3C81" w:rsidRDefault="002135AF">
      <w:pPr>
        <w:tabs>
          <w:tab w:val="left" w:pos="5220"/>
          <w:tab w:val="left" w:pos="6210"/>
        </w:tabs>
        <w:rPr>
          <w:sz w:val="22"/>
          <w:szCs w:val="22"/>
        </w:rPr>
      </w:pPr>
    </w:p>
    <w:p w:rsidR="002135AF" w:rsidRPr="001B3C81" w:rsidRDefault="002135AF" w:rsidP="002135AF">
      <w:pPr>
        <w:tabs>
          <w:tab w:val="left" w:pos="5220"/>
          <w:tab w:val="left" w:pos="6300"/>
        </w:tabs>
        <w:spacing w:line="360" w:lineRule="auto"/>
        <w:jc w:val="center"/>
        <w:outlineLvl w:val="0"/>
        <w:rPr>
          <w:b/>
          <w:sz w:val="32"/>
          <w:szCs w:val="32"/>
        </w:rPr>
      </w:pPr>
      <w:r w:rsidRPr="001B3C81">
        <w:rPr>
          <w:b/>
          <w:sz w:val="32"/>
          <w:szCs w:val="32"/>
        </w:rPr>
        <w:t>Community Foundation</w:t>
      </w:r>
      <w:r w:rsidR="00EF527F" w:rsidRPr="001B3C81">
        <w:rPr>
          <w:b/>
          <w:sz w:val="32"/>
          <w:szCs w:val="32"/>
        </w:rPr>
        <w:t xml:space="preserve"> </w:t>
      </w:r>
      <w:r w:rsidR="001B3C81">
        <w:rPr>
          <w:b/>
          <w:sz w:val="32"/>
          <w:szCs w:val="32"/>
        </w:rPr>
        <w:t>Encourages Residents to Set Aside 5% of</w:t>
      </w:r>
      <w:r w:rsidR="001B3C81" w:rsidRPr="001B3C81">
        <w:rPr>
          <w:b/>
          <w:sz w:val="32"/>
          <w:szCs w:val="32"/>
        </w:rPr>
        <w:t xml:space="preserve"> </w:t>
      </w:r>
      <w:r w:rsidR="001B3C81">
        <w:rPr>
          <w:b/>
          <w:sz w:val="32"/>
          <w:szCs w:val="32"/>
        </w:rPr>
        <w:t>$</w:t>
      </w:r>
      <w:r w:rsidR="00EF527F" w:rsidRPr="001B3C81">
        <w:rPr>
          <w:b/>
          <w:sz w:val="32"/>
          <w:szCs w:val="32"/>
        </w:rPr>
        <w:t>1.93 billion</w:t>
      </w:r>
      <w:r w:rsidRPr="001B3C81">
        <w:rPr>
          <w:b/>
          <w:sz w:val="32"/>
          <w:szCs w:val="32"/>
        </w:rPr>
        <w:t xml:space="preserve"> Wealth Transfer </w:t>
      </w:r>
      <w:r w:rsidR="001B3C81">
        <w:rPr>
          <w:b/>
          <w:sz w:val="32"/>
          <w:szCs w:val="32"/>
        </w:rPr>
        <w:t>for</w:t>
      </w:r>
      <w:r w:rsidRPr="001B3C81">
        <w:rPr>
          <w:b/>
          <w:sz w:val="32"/>
          <w:szCs w:val="32"/>
        </w:rPr>
        <w:t xml:space="preserve"> Charitable Good at Home</w:t>
      </w:r>
    </w:p>
    <w:p w:rsidR="002135AF" w:rsidRPr="001B3C81" w:rsidRDefault="002135AF">
      <w:pPr>
        <w:tabs>
          <w:tab w:val="left" w:pos="5220"/>
          <w:tab w:val="left" w:pos="6300"/>
        </w:tabs>
        <w:spacing w:line="360" w:lineRule="auto"/>
        <w:jc w:val="center"/>
        <w:outlineLvl w:val="0"/>
        <w:rPr>
          <w:sz w:val="22"/>
          <w:szCs w:val="22"/>
        </w:rPr>
      </w:pPr>
    </w:p>
    <w:p w:rsidR="002135AF" w:rsidRPr="001B3C81" w:rsidRDefault="002135AF" w:rsidP="002135AF">
      <w:pPr>
        <w:tabs>
          <w:tab w:val="left" w:pos="720"/>
        </w:tabs>
        <w:spacing w:line="360" w:lineRule="auto"/>
        <w:rPr>
          <w:sz w:val="24"/>
          <w:szCs w:val="24"/>
        </w:rPr>
      </w:pPr>
      <w:r w:rsidRPr="001B3C81">
        <w:rPr>
          <w:sz w:val="24"/>
          <w:szCs w:val="24"/>
        </w:rPr>
        <w:t>[</w:t>
      </w:r>
      <w:r w:rsidR="00EF527F" w:rsidRPr="001B3C81">
        <w:rPr>
          <w:sz w:val="24"/>
          <w:szCs w:val="24"/>
        </w:rPr>
        <w:t>Ithaca, NY, November 22, 2011</w:t>
      </w:r>
      <w:r w:rsidRPr="001B3C81">
        <w:rPr>
          <w:sz w:val="24"/>
          <w:szCs w:val="24"/>
        </w:rPr>
        <w:t xml:space="preserve">] An unprecedented transfer of wealth from the World War II generation to the baby boomers and then from the baby boomers to the next generation is being predicted based on research conducted by </w:t>
      </w:r>
      <w:r w:rsidR="00063531" w:rsidRPr="001B3C81">
        <w:rPr>
          <w:sz w:val="24"/>
          <w:szCs w:val="24"/>
        </w:rPr>
        <w:t>RUPRI Center for Rural Entrepreneurship</w:t>
      </w:r>
      <w:r w:rsidR="001B3C81">
        <w:rPr>
          <w:sz w:val="24"/>
          <w:szCs w:val="24"/>
        </w:rPr>
        <w:t xml:space="preserve"> as commissioned by the Community Foundation of Tompkins County. Amazingly</w:t>
      </w:r>
      <w:r w:rsidRPr="001B3C81">
        <w:rPr>
          <w:sz w:val="24"/>
          <w:szCs w:val="24"/>
        </w:rPr>
        <w:t xml:space="preserve"> </w:t>
      </w:r>
      <w:r w:rsidR="00EF527F" w:rsidRPr="001B3C81">
        <w:rPr>
          <w:sz w:val="24"/>
          <w:szCs w:val="24"/>
        </w:rPr>
        <w:t>$1.93 billion</w:t>
      </w:r>
      <w:r w:rsidRPr="001B3C81">
        <w:rPr>
          <w:sz w:val="24"/>
          <w:szCs w:val="24"/>
        </w:rPr>
        <w:t xml:space="preserve"> is projected to change hands within the next 50 years in </w:t>
      </w:r>
      <w:r w:rsidR="00EF527F" w:rsidRPr="001B3C81">
        <w:rPr>
          <w:sz w:val="24"/>
          <w:szCs w:val="24"/>
        </w:rPr>
        <w:t>Tompkins County</w:t>
      </w:r>
      <w:r w:rsidRPr="001B3C81">
        <w:rPr>
          <w:sz w:val="24"/>
          <w:szCs w:val="24"/>
        </w:rPr>
        <w:t xml:space="preserve"> alone. </w:t>
      </w:r>
    </w:p>
    <w:p w:rsidR="002135AF" w:rsidRPr="001B3C81" w:rsidRDefault="002135AF" w:rsidP="002135AF">
      <w:pPr>
        <w:tabs>
          <w:tab w:val="left" w:pos="720"/>
        </w:tabs>
        <w:spacing w:line="360" w:lineRule="auto"/>
        <w:rPr>
          <w:sz w:val="24"/>
          <w:szCs w:val="24"/>
        </w:rPr>
      </w:pPr>
    </w:p>
    <w:p w:rsidR="002135AF" w:rsidRPr="001B3C81" w:rsidRDefault="002135AF" w:rsidP="002135AF">
      <w:pPr>
        <w:tabs>
          <w:tab w:val="left" w:pos="720"/>
        </w:tabs>
        <w:spacing w:line="360" w:lineRule="auto"/>
        <w:rPr>
          <w:sz w:val="24"/>
          <w:szCs w:val="24"/>
        </w:rPr>
      </w:pPr>
      <w:r w:rsidRPr="001B3C81">
        <w:rPr>
          <w:sz w:val="24"/>
          <w:szCs w:val="24"/>
        </w:rPr>
        <w:t xml:space="preserve">With most estates in the U.S., the vast majority of assets go to heirs. For generations, people lived their entire lives close to their birthplace and as wealth passed from one generation to the next, most stayed in the same </w:t>
      </w:r>
      <w:r w:rsidR="001B3C81">
        <w:rPr>
          <w:sz w:val="24"/>
          <w:szCs w:val="24"/>
        </w:rPr>
        <w:t xml:space="preserve">county. This is no longer true </w:t>
      </w:r>
      <w:r w:rsidRPr="001B3C81">
        <w:rPr>
          <w:sz w:val="24"/>
          <w:szCs w:val="24"/>
        </w:rPr>
        <w:t xml:space="preserve">and once the wealth leaves our communities, it may never return. </w:t>
      </w:r>
      <w:r w:rsidR="00EF527F" w:rsidRPr="001B3C81">
        <w:rPr>
          <w:sz w:val="24"/>
          <w:szCs w:val="24"/>
        </w:rPr>
        <w:t>The Community Foundation</w:t>
      </w:r>
      <w:r w:rsidRPr="001B3C81">
        <w:rPr>
          <w:sz w:val="24"/>
          <w:szCs w:val="24"/>
        </w:rPr>
        <w:t xml:space="preserve"> urges residents to consider designating a portion of their estates, 401(k)</w:t>
      </w:r>
      <w:r w:rsidR="001B3C81">
        <w:rPr>
          <w:sz w:val="24"/>
          <w:szCs w:val="24"/>
        </w:rPr>
        <w:t>, 403(b)</w:t>
      </w:r>
      <w:r w:rsidRPr="001B3C81">
        <w:rPr>
          <w:sz w:val="24"/>
          <w:szCs w:val="24"/>
        </w:rPr>
        <w:t xml:space="preserve"> and IRA accounts or life insurance policies to the </w:t>
      </w:r>
      <w:r w:rsidR="00EF527F" w:rsidRPr="001B3C81">
        <w:rPr>
          <w:sz w:val="24"/>
          <w:szCs w:val="24"/>
        </w:rPr>
        <w:t xml:space="preserve">Tompkins Today and Tomorrow Fund, </w:t>
      </w:r>
      <w:r w:rsidR="001B3C81">
        <w:rPr>
          <w:sz w:val="24"/>
          <w:szCs w:val="24"/>
        </w:rPr>
        <w:t>the Community Foundation grant-making</w:t>
      </w:r>
      <w:r w:rsidRPr="001B3C81">
        <w:rPr>
          <w:sz w:val="24"/>
          <w:szCs w:val="24"/>
        </w:rPr>
        <w:t xml:space="preserve"> endowment that ensure</w:t>
      </w:r>
      <w:r w:rsidR="001B3C81">
        <w:rPr>
          <w:sz w:val="24"/>
          <w:szCs w:val="24"/>
        </w:rPr>
        <w:t>s</w:t>
      </w:r>
      <w:r w:rsidR="00EF527F" w:rsidRPr="001B3C81">
        <w:rPr>
          <w:sz w:val="24"/>
          <w:szCs w:val="24"/>
        </w:rPr>
        <w:t xml:space="preserve"> Tompkins County </w:t>
      </w:r>
      <w:r w:rsidRPr="001B3C81">
        <w:rPr>
          <w:sz w:val="24"/>
          <w:szCs w:val="24"/>
        </w:rPr>
        <w:t xml:space="preserve">enjoys the long-term benefits of this one-time opportunity. </w:t>
      </w:r>
    </w:p>
    <w:p w:rsidR="002135AF" w:rsidRPr="001B3C81" w:rsidRDefault="002135AF">
      <w:pPr>
        <w:tabs>
          <w:tab w:val="left" w:pos="720"/>
          <w:tab w:val="left" w:pos="5220"/>
          <w:tab w:val="left" w:pos="6300"/>
        </w:tabs>
        <w:spacing w:line="360" w:lineRule="auto"/>
        <w:rPr>
          <w:sz w:val="24"/>
          <w:szCs w:val="24"/>
        </w:rPr>
      </w:pPr>
    </w:p>
    <w:p w:rsidR="002135AF" w:rsidRPr="001B3C81" w:rsidRDefault="00EF527F">
      <w:pPr>
        <w:tabs>
          <w:tab w:val="left" w:pos="720"/>
          <w:tab w:val="left" w:pos="5220"/>
          <w:tab w:val="left" w:pos="6300"/>
        </w:tabs>
        <w:spacing w:line="360" w:lineRule="auto"/>
        <w:rPr>
          <w:sz w:val="24"/>
          <w:szCs w:val="24"/>
        </w:rPr>
      </w:pPr>
      <w:r w:rsidRPr="001B3C81">
        <w:rPr>
          <w:sz w:val="24"/>
          <w:szCs w:val="24"/>
        </w:rPr>
        <w:t>The Community Foundation</w:t>
      </w:r>
      <w:r w:rsidR="002135AF" w:rsidRPr="001B3C81">
        <w:rPr>
          <w:sz w:val="24"/>
          <w:szCs w:val="24"/>
        </w:rPr>
        <w:t xml:space="preserve"> hopes to secure </w:t>
      </w:r>
      <w:r w:rsidRPr="001B3C81">
        <w:rPr>
          <w:sz w:val="24"/>
          <w:szCs w:val="24"/>
        </w:rPr>
        <w:t xml:space="preserve">at least </w:t>
      </w:r>
      <w:r w:rsidR="002135AF" w:rsidRPr="001B3C81">
        <w:rPr>
          <w:sz w:val="24"/>
          <w:szCs w:val="24"/>
        </w:rPr>
        <w:t xml:space="preserve">5% of the total amount transferred in </w:t>
      </w:r>
      <w:r w:rsidRPr="001B3C81">
        <w:rPr>
          <w:sz w:val="24"/>
          <w:szCs w:val="24"/>
        </w:rPr>
        <w:t xml:space="preserve">Tompkins County </w:t>
      </w:r>
      <w:r w:rsidR="002135AF" w:rsidRPr="001B3C81">
        <w:rPr>
          <w:sz w:val="24"/>
          <w:szCs w:val="24"/>
        </w:rPr>
        <w:t xml:space="preserve">by encouraging every resident to feel the power of giving together. After just ten years the fund could </w:t>
      </w:r>
      <w:r w:rsidR="001B3C81">
        <w:rPr>
          <w:sz w:val="24"/>
          <w:szCs w:val="24"/>
        </w:rPr>
        <w:t>benefit</w:t>
      </w:r>
      <w:r w:rsidR="002135AF" w:rsidRPr="001B3C81">
        <w:rPr>
          <w:sz w:val="24"/>
          <w:szCs w:val="24"/>
        </w:rPr>
        <w:t xml:space="preserve"> from charitable gifts of </w:t>
      </w:r>
      <w:r w:rsidR="001B3C81">
        <w:rPr>
          <w:sz w:val="24"/>
          <w:szCs w:val="24"/>
        </w:rPr>
        <w:t>approaching $126</w:t>
      </w:r>
      <w:r w:rsidRPr="001B3C81">
        <w:rPr>
          <w:sz w:val="24"/>
          <w:szCs w:val="24"/>
        </w:rPr>
        <w:t xml:space="preserve"> million</w:t>
      </w:r>
      <w:r w:rsidR="002135AF" w:rsidRPr="001B3C81">
        <w:rPr>
          <w:sz w:val="24"/>
          <w:szCs w:val="24"/>
        </w:rPr>
        <w:t xml:space="preserve">. </w:t>
      </w:r>
    </w:p>
    <w:p w:rsidR="002135AF" w:rsidRPr="001B3C81" w:rsidRDefault="002135AF">
      <w:pPr>
        <w:tabs>
          <w:tab w:val="left" w:pos="720"/>
          <w:tab w:val="left" w:pos="5220"/>
          <w:tab w:val="left" w:pos="6300"/>
        </w:tabs>
        <w:spacing w:line="360" w:lineRule="auto"/>
        <w:rPr>
          <w:sz w:val="24"/>
          <w:szCs w:val="24"/>
        </w:rPr>
      </w:pPr>
    </w:p>
    <w:p w:rsidR="002135AF" w:rsidRPr="001B3C81" w:rsidRDefault="002135AF">
      <w:pPr>
        <w:tabs>
          <w:tab w:val="left" w:pos="720"/>
          <w:tab w:val="left" w:pos="5220"/>
          <w:tab w:val="left" w:pos="6300"/>
        </w:tabs>
        <w:spacing w:line="360" w:lineRule="auto"/>
        <w:rPr>
          <w:sz w:val="24"/>
          <w:szCs w:val="24"/>
        </w:rPr>
      </w:pPr>
      <w:r w:rsidRPr="001B3C81">
        <w:rPr>
          <w:sz w:val="24"/>
          <w:szCs w:val="24"/>
        </w:rPr>
        <w:t xml:space="preserve">Charitable endowments are carefully invested to last forever and grow over time. The principal is never spent. A portion of the earnings from the fund is paid out in grants to address the most pressing community needs. Each year, an endowment of this size could generate millions of dollars for community projects and priorities—forever. </w:t>
      </w:r>
    </w:p>
    <w:p w:rsidR="002135AF" w:rsidRPr="001B3C81" w:rsidRDefault="002135AF">
      <w:pPr>
        <w:tabs>
          <w:tab w:val="left" w:pos="720"/>
          <w:tab w:val="left" w:pos="5220"/>
          <w:tab w:val="left" w:pos="6300"/>
        </w:tabs>
        <w:spacing w:line="360" w:lineRule="auto"/>
        <w:rPr>
          <w:sz w:val="24"/>
          <w:szCs w:val="24"/>
        </w:rPr>
      </w:pPr>
      <w:r w:rsidRPr="001B3C81">
        <w:rPr>
          <w:sz w:val="24"/>
          <w:szCs w:val="24"/>
        </w:rPr>
        <w:tab/>
      </w:r>
    </w:p>
    <w:p w:rsidR="002135AF" w:rsidRPr="001B3C81" w:rsidRDefault="002135AF">
      <w:pPr>
        <w:tabs>
          <w:tab w:val="left" w:pos="720"/>
          <w:tab w:val="left" w:pos="5220"/>
          <w:tab w:val="left" w:pos="6300"/>
        </w:tabs>
        <w:spacing w:line="360" w:lineRule="auto"/>
        <w:rPr>
          <w:sz w:val="24"/>
          <w:szCs w:val="24"/>
        </w:rPr>
      </w:pPr>
      <w:r w:rsidRPr="001B3C81">
        <w:rPr>
          <w:sz w:val="24"/>
          <w:szCs w:val="24"/>
        </w:rPr>
        <w:lastRenderedPageBreak/>
        <w:t xml:space="preserve">“If the community </w:t>
      </w:r>
      <w:r w:rsidR="00EF527F" w:rsidRPr="001B3C81">
        <w:rPr>
          <w:sz w:val="24"/>
          <w:szCs w:val="24"/>
        </w:rPr>
        <w:t>gets</w:t>
      </w:r>
      <w:r w:rsidRPr="001B3C81">
        <w:rPr>
          <w:sz w:val="24"/>
          <w:szCs w:val="24"/>
        </w:rPr>
        <w:t xml:space="preserve"> behind this, generous donors could build funds</w:t>
      </w:r>
      <w:r w:rsidR="00EF527F" w:rsidRPr="001B3C81">
        <w:rPr>
          <w:sz w:val="24"/>
          <w:szCs w:val="24"/>
        </w:rPr>
        <w:t xml:space="preserve">, depending on the timing of </w:t>
      </w:r>
      <w:r w:rsidR="00F9348F" w:rsidRPr="001B3C81">
        <w:rPr>
          <w:sz w:val="24"/>
          <w:szCs w:val="24"/>
        </w:rPr>
        <w:t>gifts</w:t>
      </w:r>
      <w:r w:rsidR="00F9348F">
        <w:rPr>
          <w:sz w:val="24"/>
          <w:szCs w:val="24"/>
        </w:rPr>
        <w:t xml:space="preserve"> that</w:t>
      </w:r>
      <w:r w:rsidR="001B3C81" w:rsidRPr="001B3C81">
        <w:rPr>
          <w:sz w:val="24"/>
          <w:szCs w:val="24"/>
        </w:rPr>
        <w:t xml:space="preserve"> would invest from $6.33 to </w:t>
      </w:r>
      <w:r w:rsidR="001B3C81">
        <w:rPr>
          <w:sz w:val="24"/>
          <w:szCs w:val="24"/>
        </w:rPr>
        <w:t>$</w:t>
      </w:r>
      <w:r w:rsidR="001B3C81" w:rsidRPr="001B3C81">
        <w:rPr>
          <w:sz w:val="24"/>
          <w:szCs w:val="24"/>
        </w:rPr>
        <w:t>33.5 million in cumulative grants by 2021</w:t>
      </w:r>
      <w:r w:rsidR="001B3C81">
        <w:rPr>
          <w:sz w:val="24"/>
          <w:szCs w:val="24"/>
        </w:rPr>
        <w:t>.  Over the next 50 years, a potential of</w:t>
      </w:r>
      <w:r w:rsidR="001B3C81" w:rsidRPr="001B3C81">
        <w:rPr>
          <w:sz w:val="24"/>
          <w:szCs w:val="24"/>
        </w:rPr>
        <w:t xml:space="preserve"> $3.5 billion in total grants </w:t>
      </w:r>
      <w:r w:rsidR="001B3C81">
        <w:rPr>
          <w:sz w:val="24"/>
          <w:szCs w:val="24"/>
        </w:rPr>
        <w:t xml:space="preserve">would have profound power and promise </w:t>
      </w:r>
      <w:r w:rsidR="00F9348F">
        <w:rPr>
          <w:sz w:val="24"/>
          <w:szCs w:val="24"/>
        </w:rPr>
        <w:t>for generations to come</w:t>
      </w:r>
      <w:r w:rsidRPr="001B3C81">
        <w:rPr>
          <w:sz w:val="24"/>
          <w:szCs w:val="24"/>
        </w:rPr>
        <w:t xml:space="preserve">” says </w:t>
      </w:r>
      <w:r w:rsidR="00EF527F" w:rsidRPr="001B3C81">
        <w:rPr>
          <w:sz w:val="24"/>
          <w:szCs w:val="24"/>
        </w:rPr>
        <w:t xml:space="preserve">George Ferrari, Executive Director, </w:t>
      </w:r>
      <w:r w:rsidR="001B3C81" w:rsidRPr="001B3C81">
        <w:rPr>
          <w:sz w:val="24"/>
          <w:szCs w:val="24"/>
        </w:rPr>
        <w:t>Community</w:t>
      </w:r>
      <w:r w:rsidR="00EF527F" w:rsidRPr="001B3C81">
        <w:rPr>
          <w:sz w:val="24"/>
          <w:szCs w:val="24"/>
        </w:rPr>
        <w:t xml:space="preserve"> Foundation.</w:t>
      </w:r>
      <w:r w:rsidRPr="001B3C81">
        <w:rPr>
          <w:sz w:val="24"/>
          <w:szCs w:val="24"/>
        </w:rPr>
        <w:t xml:space="preserve"> “Think about what millions of dollars each year could do for our community. Within a decade, it could mean improved health and human services, new arts and cultural endeavors, increased recreational attractions and entrepreneurial investment—resulting in a better quality of life for everyone.”</w:t>
      </w:r>
    </w:p>
    <w:p w:rsidR="002135AF" w:rsidRPr="001B3C81" w:rsidRDefault="002135AF" w:rsidP="002135AF">
      <w:pPr>
        <w:tabs>
          <w:tab w:val="left" w:pos="720"/>
          <w:tab w:val="left" w:pos="5220"/>
          <w:tab w:val="left" w:pos="6300"/>
        </w:tabs>
        <w:spacing w:line="360" w:lineRule="auto"/>
        <w:rPr>
          <w:sz w:val="24"/>
          <w:szCs w:val="24"/>
        </w:rPr>
      </w:pPr>
      <w:r w:rsidRPr="001B3C81">
        <w:rPr>
          <w:sz w:val="24"/>
          <w:szCs w:val="24"/>
        </w:rPr>
        <w:tab/>
      </w:r>
    </w:p>
    <w:p w:rsidR="002135AF" w:rsidRDefault="002135AF" w:rsidP="002135AF">
      <w:pPr>
        <w:tabs>
          <w:tab w:val="left" w:pos="720"/>
          <w:tab w:val="left" w:pos="5220"/>
          <w:tab w:val="left" w:pos="6300"/>
        </w:tabs>
        <w:spacing w:line="360" w:lineRule="auto"/>
        <w:rPr>
          <w:sz w:val="24"/>
          <w:szCs w:val="24"/>
        </w:rPr>
      </w:pPr>
      <w:r w:rsidRPr="001B3C81">
        <w:rPr>
          <w:sz w:val="24"/>
          <w:szCs w:val="24"/>
        </w:rPr>
        <w:t>Retirement a</w:t>
      </w:r>
      <w:r w:rsidR="001B3C81" w:rsidRPr="001B3C81">
        <w:rPr>
          <w:sz w:val="24"/>
          <w:szCs w:val="24"/>
        </w:rPr>
        <w:t xml:space="preserve">ccounts and insurance policies </w:t>
      </w:r>
      <w:r w:rsidRPr="001B3C81">
        <w:rPr>
          <w:sz w:val="24"/>
          <w:szCs w:val="24"/>
        </w:rPr>
        <w:t xml:space="preserve">are excellent vehicles for planned giving. Both can be designated to charity without modifying an existing estate plan. IRAs and 401(k)s may be the best asset to earmark for estate giving since they can be highly taxed when given to heirs, losing up to 70% of their value in some cases. </w:t>
      </w:r>
    </w:p>
    <w:p w:rsidR="00F9348F" w:rsidRDefault="00F9348F" w:rsidP="002135AF">
      <w:pPr>
        <w:tabs>
          <w:tab w:val="left" w:pos="720"/>
          <w:tab w:val="left" w:pos="5220"/>
          <w:tab w:val="left" w:pos="6300"/>
        </w:tabs>
        <w:spacing w:line="360" w:lineRule="auto"/>
        <w:rPr>
          <w:sz w:val="24"/>
          <w:szCs w:val="24"/>
        </w:rPr>
      </w:pPr>
    </w:p>
    <w:p w:rsidR="00F9348F" w:rsidRDefault="00F9348F" w:rsidP="002135AF">
      <w:pPr>
        <w:tabs>
          <w:tab w:val="left" w:pos="720"/>
          <w:tab w:val="left" w:pos="5220"/>
          <w:tab w:val="left" w:pos="6300"/>
        </w:tabs>
        <w:spacing w:line="360" w:lineRule="auto"/>
        <w:rPr>
          <w:sz w:val="24"/>
          <w:szCs w:val="24"/>
        </w:rPr>
      </w:pPr>
      <w:r>
        <w:rPr>
          <w:sz w:val="24"/>
          <w:szCs w:val="24"/>
        </w:rPr>
        <w:t xml:space="preserve">Learn more about the Community Foundation and the Transfer of Wealth Study at </w:t>
      </w:r>
      <w:hyperlink r:id="rId5" w:history="1">
        <w:r w:rsidRPr="00711266">
          <w:rPr>
            <w:rStyle w:val="Hyperlink"/>
            <w:sz w:val="24"/>
            <w:szCs w:val="24"/>
          </w:rPr>
          <w:t>www.cftompkins.org</w:t>
        </w:r>
      </w:hyperlink>
    </w:p>
    <w:p w:rsidR="00F9348F" w:rsidRPr="001B3C81" w:rsidRDefault="00F9348F" w:rsidP="002135AF">
      <w:pPr>
        <w:tabs>
          <w:tab w:val="left" w:pos="720"/>
          <w:tab w:val="left" w:pos="5220"/>
          <w:tab w:val="left" w:pos="6300"/>
        </w:tabs>
        <w:spacing w:line="360" w:lineRule="auto"/>
        <w:rPr>
          <w:sz w:val="24"/>
          <w:szCs w:val="24"/>
        </w:rPr>
      </w:pPr>
    </w:p>
    <w:p w:rsidR="002135AF" w:rsidRPr="001B3C81" w:rsidRDefault="002135AF" w:rsidP="002135AF">
      <w:pPr>
        <w:tabs>
          <w:tab w:val="left" w:pos="720"/>
          <w:tab w:val="left" w:pos="5220"/>
          <w:tab w:val="left" w:pos="6300"/>
        </w:tabs>
        <w:spacing w:line="360" w:lineRule="auto"/>
        <w:rPr>
          <w:sz w:val="24"/>
          <w:szCs w:val="24"/>
        </w:rPr>
      </w:pPr>
    </w:p>
    <w:sectPr w:rsidR="002135AF" w:rsidRPr="001B3C81">
      <w:pgSz w:w="12240" w:h="15840"/>
      <w:pgMar w:top="1152" w:right="1296" w:bottom="864" w:left="1296"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compat/>
  <w:rsids>
    <w:rsidRoot w:val="000F5021"/>
    <w:rsid w:val="00063531"/>
    <w:rsid w:val="001B3C81"/>
    <w:rsid w:val="002135AF"/>
    <w:rsid w:val="004C4644"/>
    <w:rsid w:val="007102B9"/>
    <w:rsid w:val="00DE1B09"/>
    <w:rsid w:val="00EF527F"/>
    <w:rsid w:val="00F93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line="220" w:lineRule="exact"/>
      <w:outlineLvl w:val="0"/>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BodyText">
    <w:name w:val="Body Text"/>
    <w:basedOn w:val="Normal"/>
    <w:pPr>
      <w:tabs>
        <w:tab w:val="left" w:pos="720"/>
        <w:tab w:val="left" w:pos="5220"/>
        <w:tab w:val="left" w:pos="6300"/>
      </w:tabs>
      <w:spacing w:line="360" w:lineRule="auto"/>
    </w:pPr>
    <w:rPr>
      <w:rFonts w:ascii="Arial" w:hAnsi="Arial"/>
      <w:sz w:val="19"/>
    </w:rPr>
  </w:style>
  <w:style w:type="table" w:styleId="TableGrid">
    <w:name w:val="Table Grid"/>
    <w:basedOn w:val="TableNormal"/>
    <w:rsid w:val="00D64C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C7CB1"/>
    <w:rPr>
      <w:rFonts w:ascii="Tahoma" w:hAnsi="Tahoma" w:cs="Tahoma"/>
      <w:sz w:val="16"/>
      <w:szCs w:val="16"/>
    </w:rPr>
  </w:style>
  <w:style w:type="character" w:styleId="Hyperlink">
    <w:name w:val="Hyperlink"/>
    <w:basedOn w:val="DefaultParagraphFont"/>
    <w:rsid w:val="00F9348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ftompkins.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Public Relations</vt:lpstr>
    </vt:vector>
  </TitlesOfParts>
  <Company>Williams Marketing Services</Company>
  <LinksUpToDate>false</LinksUpToDate>
  <CharactersWithSpaces>3093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Relations</dc:title>
  <dc:subject/>
  <dc:creator>Williams Marketing Services</dc:creator>
  <cp:keywords/>
  <dc:description/>
  <cp:lastModifiedBy>George P. Ferrari</cp:lastModifiedBy>
  <cp:revision>2</cp:revision>
  <cp:lastPrinted>2011-11-22T20:17:00Z</cp:lastPrinted>
  <dcterms:created xsi:type="dcterms:W3CDTF">2011-11-22T20:56:00Z</dcterms:created>
  <dcterms:modified xsi:type="dcterms:W3CDTF">2011-11-22T20:56:00Z</dcterms:modified>
</cp:coreProperties>
</file>